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FB6C" w14:textId="77777777" w:rsidR="0057392D" w:rsidRPr="00195D9D" w:rsidRDefault="00501325" w:rsidP="001913E6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Lato" w:hAnsi="Lato" w:cs="Arial"/>
          <w:b/>
          <w:bCs/>
          <w:sz w:val="28"/>
          <w:szCs w:val="28"/>
        </w:rPr>
        <w:t>INTRODUCTION</w:t>
      </w:r>
    </w:p>
    <w:p w14:paraId="4F9620FF" w14:textId="77777777" w:rsidR="001913E6" w:rsidRPr="00195D9D" w:rsidRDefault="001913E6" w:rsidP="00F312FB">
      <w:pPr>
        <w:ind w:left="426"/>
        <w:rPr>
          <w:rFonts w:ascii="Lato" w:hAnsi="Lato" w:cs="Arial"/>
          <w:bCs/>
          <w:sz w:val="24"/>
          <w:lang w:val="en-US"/>
        </w:rPr>
      </w:pPr>
    </w:p>
    <w:p w14:paraId="4D7CAA68" w14:textId="642E8E17" w:rsidR="00F77E70" w:rsidRDefault="00EA6B04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Quality Education and Care Northern Territory (QECNT) is committed to protecting personal information in accordance with </w:t>
      </w:r>
      <w:r w:rsidR="000E10A9">
        <w:rPr>
          <w:rFonts w:ascii="Lato" w:hAnsi="Lato" w:cs="Arial"/>
          <w:bCs/>
          <w:sz w:val="24"/>
          <w:lang w:val="en-US"/>
        </w:rPr>
        <w:t xml:space="preserve">its </w:t>
      </w:r>
      <w:r>
        <w:rPr>
          <w:rFonts w:ascii="Lato" w:hAnsi="Lato" w:cs="Arial"/>
          <w:bCs/>
          <w:sz w:val="24"/>
          <w:lang w:val="en-US"/>
        </w:rPr>
        <w:t xml:space="preserve">obligations under the </w:t>
      </w:r>
      <w:hyperlink r:id="rId8" w:history="1">
        <w:r w:rsidRPr="00EA6B04">
          <w:rPr>
            <w:rStyle w:val="Hyperlink"/>
            <w:rFonts w:ascii="Lato" w:hAnsi="Lato" w:cs="Arial"/>
            <w:bCs/>
            <w:i/>
            <w:sz w:val="24"/>
            <w:lang w:val="en-US"/>
          </w:rPr>
          <w:t>Privacy Act 1988</w:t>
        </w:r>
      </w:hyperlink>
      <w:r>
        <w:rPr>
          <w:rFonts w:ascii="Lato" w:hAnsi="Lato" w:cs="Arial"/>
          <w:bCs/>
          <w:i/>
          <w:sz w:val="24"/>
          <w:lang w:val="en-US"/>
        </w:rPr>
        <w:t xml:space="preserve"> </w:t>
      </w:r>
      <w:r w:rsidRPr="00EA6B04">
        <w:rPr>
          <w:rFonts w:ascii="Lato" w:hAnsi="Lato" w:cs="Arial"/>
          <w:bCs/>
          <w:sz w:val="24"/>
          <w:lang w:val="en-US"/>
        </w:rPr>
        <w:t>(</w:t>
      </w:r>
      <w:r w:rsidR="007D0936">
        <w:rPr>
          <w:rFonts w:ascii="Lato" w:hAnsi="Lato" w:cs="Arial"/>
          <w:bCs/>
          <w:sz w:val="24"/>
          <w:lang w:val="en-US"/>
        </w:rPr>
        <w:t>the Privacy</w:t>
      </w:r>
      <w:r w:rsidRPr="00EA6B04">
        <w:rPr>
          <w:rFonts w:ascii="Lato" w:hAnsi="Lato" w:cs="Arial"/>
          <w:bCs/>
          <w:sz w:val="24"/>
          <w:lang w:val="en-US"/>
        </w:rPr>
        <w:t xml:space="preserve"> Act)</w:t>
      </w:r>
      <w:r>
        <w:rPr>
          <w:rFonts w:ascii="Lato" w:hAnsi="Lato" w:cs="Arial"/>
          <w:bCs/>
          <w:i/>
          <w:sz w:val="24"/>
          <w:lang w:val="en-US"/>
        </w:rPr>
        <w:t xml:space="preserve"> </w:t>
      </w:r>
      <w:r>
        <w:rPr>
          <w:rFonts w:ascii="Lato" w:hAnsi="Lato" w:cs="Arial"/>
          <w:bCs/>
          <w:sz w:val="24"/>
          <w:lang w:val="en-US"/>
        </w:rPr>
        <w:t xml:space="preserve">and the </w:t>
      </w:r>
      <w:hyperlink r:id="rId9" w:history="1">
        <w:r w:rsidRPr="00EA6B04">
          <w:rPr>
            <w:rStyle w:val="Hyperlink"/>
            <w:rFonts w:ascii="Lato" w:hAnsi="Lato" w:cs="Arial"/>
            <w:bCs/>
            <w:sz w:val="24"/>
            <w:lang w:val="en-US"/>
          </w:rPr>
          <w:t>Australian Privacy Principles</w:t>
        </w:r>
      </w:hyperlink>
      <w:r>
        <w:rPr>
          <w:rFonts w:ascii="Lato" w:hAnsi="Lato" w:cs="Arial"/>
          <w:bCs/>
          <w:sz w:val="24"/>
          <w:lang w:val="en-US"/>
        </w:rPr>
        <w:t xml:space="preserve"> </w:t>
      </w:r>
      <w:r w:rsidR="00F3137B">
        <w:rPr>
          <w:rFonts w:ascii="Lato" w:hAnsi="Lato" w:cs="Arial"/>
          <w:bCs/>
          <w:sz w:val="24"/>
          <w:lang w:val="en-US"/>
        </w:rPr>
        <w:t xml:space="preserve">(APP) </w:t>
      </w:r>
      <w:r>
        <w:rPr>
          <w:rFonts w:ascii="Lato" w:hAnsi="Lato" w:cs="Arial"/>
          <w:bCs/>
          <w:sz w:val="24"/>
          <w:lang w:val="en-US"/>
        </w:rPr>
        <w:t xml:space="preserve">contained within Schedule 1 of the </w:t>
      </w:r>
      <w:r w:rsidR="006F761F">
        <w:rPr>
          <w:rFonts w:ascii="Lato" w:hAnsi="Lato" w:cs="Arial"/>
          <w:bCs/>
          <w:sz w:val="24"/>
          <w:lang w:val="en-US"/>
        </w:rPr>
        <w:t xml:space="preserve">Privacy </w:t>
      </w:r>
      <w:r>
        <w:rPr>
          <w:rFonts w:ascii="Lato" w:hAnsi="Lato" w:cs="Arial"/>
          <w:bCs/>
          <w:sz w:val="24"/>
          <w:lang w:val="en-US"/>
        </w:rPr>
        <w:t>Act.</w:t>
      </w:r>
    </w:p>
    <w:p w14:paraId="42A23478" w14:textId="77777777" w:rsidR="00EA6B04" w:rsidRDefault="00EA6B04">
      <w:pPr>
        <w:ind w:left="426"/>
        <w:rPr>
          <w:rFonts w:ascii="Lato" w:hAnsi="Lato" w:cs="Arial"/>
          <w:bCs/>
          <w:sz w:val="24"/>
          <w:lang w:val="en-US"/>
        </w:rPr>
      </w:pPr>
    </w:p>
    <w:p w14:paraId="63C3AD84" w14:textId="56FE6F10" w:rsidR="00EA6B04" w:rsidRPr="00EA6B04" w:rsidRDefault="000E10A9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To comply with </w:t>
      </w:r>
      <w:r w:rsidR="00106C4A">
        <w:rPr>
          <w:rFonts w:ascii="Lato" w:hAnsi="Lato" w:cs="Arial"/>
          <w:bCs/>
          <w:sz w:val="24"/>
          <w:lang w:val="en-US"/>
        </w:rPr>
        <w:t>APP 1.3</w:t>
      </w:r>
      <w:r>
        <w:rPr>
          <w:rFonts w:ascii="Lato" w:hAnsi="Lato" w:cs="Arial"/>
          <w:bCs/>
          <w:sz w:val="24"/>
          <w:lang w:val="en-US"/>
        </w:rPr>
        <w:t>,</w:t>
      </w:r>
      <w:r w:rsidR="00106C4A">
        <w:rPr>
          <w:rFonts w:ascii="Lato" w:hAnsi="Lato" w:cs="Arial"/>
          <w:bCs/>
          <w:sz w:val="24"/>
          <w:lang w:val="en-US"/>
        </w:rPr>
        <w:t xml:space="preserve"> QECNT </w:t>
      </w:r>
      <w:r>
        <w:rPr>
          <w:rFonts w:ascii="Lato" w:hAnsi="Lato" w:cs="Arial"/>
          <w:bCs/>
          <w:sz w:val="24"/>
          <w:lang w:val="en-US"/>
        </w:rPr>
        <w:t xml:space="preserve">must </w:t>
      </w:r>
      <w:r w:rsidR="00106C4A">
        <w:rPr>
          <w:rFonts w:ascii="Lato" w:hAnsi="Lato" w:cs="Arial"/>
          <w:bCs/>
          <w:sz w:val="24"/>
          <w:lang w:val="en-US"/>
        </w:rPr>
        <w:t xml:space="preserve">have a clearly expressed and up to date privacy policy describing how it </w:t>
      </w:r>
      <w:r w:rsidR="00A54ED6">
        <w:rPr>
          <w:rFonts w:ascii="Lato" w:hAnsi="Lato" w:cs="Arial"/>
          <w:bCs/>
          <w:sz w:val="24"/>
          <w:lang w:val="en-US"/>
        </w:rPr>
        <w:t>collects</w:t>
      </w:r>
      <w:r w:rsidR="003828D5">
        <w:rPr>
          <w:rFonts w:ascii="Lato" w:hAnsi="Lato" w:cs="Arial"/>
          <w:bCs/>
          <w:sz w:val="24"/>
          <w:lang w:val="en-US"/>
        </w:rPr>
        <w:t>, uses</w:t>
      </w:r>
      <w:r w:rsidR="00A54ED6">
        <w:rPr>
          <w:rFonts w:ascii="Lato" w:hAnsi="Lato" w:cs="Arial"/>
          <w:bCs/>
          <w:sz w:val="24"/>
          <w:lang w:val="en-US"/>
        </w:rPr>
        <w:t xml:space="preserve"> and </w:t>
      </w:r>
      <w:r w:rsidR="00106C4A">
        <w:rPr>
          <w:rFonts w:ascii="Lato" w:hAnsi="Lato" w:cs="Arial"/>
          <w:bCs/>
          <w:sz w:val="24"/>
          <w:lang w:val="en-US"/>
        </w:rPr>
        <w:t xml:space="preserve">manages personal information. </w:t>
      </w:r>
      <w:r w:rsidR="00EA6B04">
        <w:rPr>
          <w:rFonts w:ascii="Lato" w:hAnsi="Lato" w:cs="Arial"/>
          <w:bCs/>
          <w:sz w:val="24"/>
          <w:lang w:val="en-US"/>
        </w:rPr>
        <w:t xml:space="preserve">This </w:t>
      </w:r>
      <w:r w:rsidR="00A54ED6">
        <w:rPr>
          <w:rFonts w:ascii="Lato" w:hAnsi="Lato" w:cs="Arial"/>
          <w:bCs/>
          <w:sz w:val="24"/>
          <w:lang w:val="en-US"/>
        </w:rPr>
        <w:t>p</w:t>
      </w:r>
      <w:r w:rsidR="00EA6B04">
        <w:rPr>
          <w:rFonts w:ascii="Lato" w:hAnsi="Lato" w:cs="Arial"/>
          <w:bCs/>
          <w:sz w:val="24"/>
          <w:lang w:val="en-US"/>
        </w:rPr>
        <w:t xml:space="preserve">olicy outlines how QECNT complies with </w:t>
      </w:r>
      <w:r w:rsidR="00EE779A">
        <w:rPr>
          <w:rFonts w:ascii="Lato" w:hAnsi="Lato" w:cs="Arial"/>
          <w:bCs/>
          <w:sz w:val="24"/>
          <w:lang w:val="en-US"/>
        </w:rPr>
        <w:t>these</w:t>
      </w:r>
      <w:r w:rsidR="00EA6B04">
        <w:rPr>
          <w:rFonts w:ascii="Lato" w:hAnsi="Lato" w:cs="Arial"/>
          <w:bCs/>
          <w:sz w:val="24"/>
          <w:lang w:val="en-US"/>
        </w:rPr>
        <w:t xml:space="preserve"> obligations.</w:t>
      </w:r>
    </w:p>
    <w:p w14:paraId="64E49D8F" w14:textId="77777777" w:rsidR="00F77E70" w:rsidRPr="00195D9D" w:rsidRDefault="00F77E70" w:rsidP="006F5BF7">
      <w:pPr>
        <w:tabs>
          <w:tab w:val="left" w:pos="6150"/>
        </w:tabs>
        <w:ind w:left="426"/>
        <w:rPr>
          <w:rFonts w:ascii="Lato" w:hAnsi="Lato" w:cs="Arial"/>
          <w:bCs/>
          <w:sz w:val="24"/>
          <w:lang w:val="en-US"/>
        </w:rPr>
      </w:pPr>
    </w:p>
    <w:p w14:paraId="317D5369" w14:textId="77777777" w:rsidR="00F0238F" w:rsidRPr="00195D9D" w:rsidRDefault="00F0238F" w:rsidP="00F0238F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195D9D">
        <w:rPr>
          <w:rFonts w:ascii="Lato" w:hAnsi="Lato" w:cs="Arial"/>
          <w:b/>
          <w:bCs/>
          <w:sz w:val="28"/>
          <w:szCs w:val="28"/>
          <w:lang w:val="en-US"/>
        </w:rPr>
        <w:t xml:space="preserve">BUSINESS </w:t>
      </w:r>
      <w:r w:rsidR="008D7556" w:rsidRPr="00195D9D">
        <w:rPr>
          <w:rFonts w:ascii="Lato" w:hAnsi="Lato" w:cs="Arial"/>
          <w:b/>
          <w:bCs/>
          <w:sz w:val="28"/>
          <w:szCs w:val="28"/>
          <w:lang w:val="en-US"/>
        </w:rPr>
        <w:t>NEED</w:t>
      </w:r>
      <w:r w:rsidR="00C70A17">
        <w:rPr>
          <w:rFonts w:ascii="Lato" w:hAnsi="Lato" w:cs="Arial"/>
          <w:b/>
          <w:bCs/>
          <w:sz w:val="28"/>
          <w:szCs w:val="28"/>
          <w:lang w:val="en-US"/>
        </w:rPr>
        <w:t xml:space="preserve"> </w:t>
      </w:r>
    </w:p>
    <w:p w14:paraId="2FF5C288" w14:textId="77777777" w:rsidR="00F77E70" w:rsidRPr="00195D9D" w:rsidRDefault="00F77E70">
      <w:pPr>
        <w:ind w:left="426"/>
        <w:rPr>
          <w:rFonts w:ascii="Lato" w:hAnsi="Lato" w:cs="Arial"/>
          <w:bCs/>
          <w:sz w:val="24"/>
          <w:lang w:val="en-US"/>
        </w:rPr>
      </w:pPr>
    </w:p>
    <w:p w14:paraId="023497A7" w14:textId="77777777" w:rsidR="00F77E70" w:rsidRDefault="007D0936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The </w:t>
      </w:r>
      <w:hyperlink r:id="rId10" w:history="1">
        <w:r w:rsidRPr="007A3690">
          <w:rPr>
            <w:rStyle w:val="Hyperlink"/>
            <w:rFonts w:ascii="Lato" w:hAnsi="Lato" w:cs="Arial"/>
            <w:bCs/>
            <w:i/>
            <w:sz w:val="24"/>
            <w:lang w:val="en-US"/>
          </w:rPr>
          <w:t>Education and Care Services National Law</w:t>
        </w:r>
      </w:hyperlink>
      <w:r>
        <w:rPr>
          <w:rFonts w:ascii="Lato" w:hAnsi="Lato" w:cs="Arial"/>
          <w:bCs/>
          <w:sz w:val="24"/>
          <w:lang w:val="en-US"/>
        </w:rPr>
        <w:t xml:space="preserve"> (National Law), as enacted in all states and territories, establishe</w:t>
      </w:r>
      <w:r w:rsidR="00A54ED6">
        <w:rPr>
          <w:rFonts w:ascii="Lato" w:hAnsi="Lato" w:cs="Arial"/>
          <w:bCs/>
          <w:sz w:val="24"/>
          <w:lang w:val="en-US"/>
        </w:rPr>
        <w:t>s</w:t>
      </w:r>
      <w:r>
        <w:rPr>
          <w:rFonts w:ascii="Lato" w:hAnsi="Lato" w:cs="Arial"/>
          <w:bCs/>
          <w:sz w:val="24"/>
          <w:lang w:val="en-US"/>
        </w:rPr>
        <w:t xml:space="preserve"> a national system to regulate education and care services for children. QECNT is </w:t>
      </w:r>
      <w:r w:rsidR="00A54ED6">
        <w:rPr>
          <w:rFonts w:ascii="Lato" w:hAnsi="Lato" w:cs="Arial"/>
          <w:bCs/>
          <w:sz w:val="24"/>
          <w:lang w:val="en-US"/>
        </w:rPr>
        <w:t>the Northern Territory Regulatory Authority under</w:t>
      </w:r>
      <w:r>
        <w:rPr>
          <w:rFonts w:ascii="Lato" w:hAnsi="Lato" w:cs="Arial"/>
          <w:bCs/>
          <w:sz w:val="24"/>
          <w:lang w:val="en-US"/>
        </w:rPr>
        <w:t xml:space="preserve"> the National Law.</w:t>
      </w:r>
    </w:p>
    <w:p w14:paraId="36AA96A5" w14:textId="77777777" w:rsidR="007D0936" w:rsidRDefault="007D0936">
      <w:pPr>
        <w:ind w:left="426"/>
        <w:rPr>
          <w:rFonts w:ascii="Lato" w:hAnsi="Lato" w:cs="Arial"/>
          <w:bCs/>
          <w:sz w:val="24"/>
          <w:lang w:val="en-US"/>
        </w:rPr>
      </w:pPr>
    </w:p>
    <w:p w14:paraId="4961FB87" w14:textId="5DABA949" w:rsidR="00122F3D" w:rsidRDefault="007D0936" w:rsidP="00122F3D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Section 263 of the National Law applies the Privacy Act to </w:t>
      </w:r>
      <w:r w:rsidR="00870C28">
        <w:rPr>
          <w:rFonts w:ascii="Lato" w:hAnsi="Lato" w:cs="Arial"/>
          <w:bCs/>
          <w:sz w:val="24"/>
          <w:lang w:val="en-US"/>
        </w:rPr>
        <w:t xml:space="preserve">QECNT as a </w:t>
      </w:r>
      <w:r w:rsidR="000E10A9">
        <w:rPr>
          <w:rFonts w:ascii="Lato" w:hAnsi="Lato" w:cs="Arial"/>
          <w:bCs/>
          <w:sz w:val="24"/>
          <w:lang w:val="en-US"/>
        </w:rPr>
        <w:t xml:space="preserve">regulatory authority </w:t>
      </w:r>
      <w:r w:rsidR="00870C28">
        <w:rPr>
          <w:rFonts w:ascii="Lato" w:hAnsi="Lato" w:cs="Arial"/>
          <w:bCs/>
          <w:sz w:val="24"/>
          <w:lang w:val="en-US"/>
        </w:rPr>
        <w:t xml:space="preserve">responsible for </w:t>
      </w:r>
      <w:r>
        <w:rPr>
          <w:rFonts w:ascii="Lato" w:hAnsi="Lato" w:cs="Arial"/>
          <w:bCs/>
          <w:sz w:val="24"/>
          <w:lang w:val="en-US"/>
        </w:rPr>
        <w:t>the administration of</w:t>
      </w:r>
      <w:r w:rsidR="00870C28">
        <w:rPr>
          <w:rFonts w:ascii="Lato" w:hAnsi="Lato" w:cs="Arial"/>
          <w:bCs/>
          <w:sz w:val="24"/>
          <w:lang w:val="en-US"/>
        </w:rPr>
        <w:t xml:space="preserve"> the National Quality Framework</w:t>
      </w:r>
      <w:r>
        <w:rPr>
          <w:rFonts w:ascii="Lato" w:hAnsi="Lato" w:cs="Arial"/>
          <w:bCs/>
          <w:sz w:val="24"/>
          <w:lang w:val="en-US"/>
        </w:rPr>
        <w:t>.</w:t>
      </w:r>
    </w:p>
    <w:p w14:paraId="4EFB54BE" w14:textId="77777777" w:rsidR="00F77E70" w:rsidRPr="00195D9D" w:rsidRDefault="00F77E70" w:rsidP="00106C4A">
      <w:pPr>
        <w:rPr>
          <w:rFonts w:ascii="Lato" w:hAnsi="Lato" w:cs="Arial"/>
          <w:bCs/>
          <w:sz w:val="24"/>
          <w:lang w:val="en-US"/>
        </w:rPr>
      </w:pPr>
    </w:p>
    <w:p w14:paraId="1AEEC9AD" w14:textId="77777777" w:rsidR="0057392D" w:rsidRPr="00195D9D" w:rsidRDefault="00CD4ACA" w:rsidP="001913E6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>POLICY</w:t>
      </w:r>
    </w:p>
    <w:p w14:paraId="55BBC4B8" w14:textId="77777777" w:rsidR="00F77E70" w:rsidRPr="00195D9D" w:rsidRDefault="00F77E70">
      <w:pPr>
        <w:ind w:left="425"/>
        <w:rPr>
          <w:rFonts w:ascii="Lato" w:hAnsi="Lato" w:cs="Arial"/>
          <w:bCs/>
          <w:sz w:val="24"/>
          <w:lang w:val="en-US"/>
        </w:rPr>
      </w:pPr>
    </w:p>
    <w:p w14:paraId="1F769CA4" w14:textId="77777777" w:rsidR="00B43B2F" w:rsidRPr="00B43B2F" w:rsidRDefault="00EB3D38" w:rsidP="007A6091">
      <w:pPr>
        <w:tabs>
          <w:tab w:val="left" w:pos="426"/>
        </w:tabs>
        <w:rPr>
          <w:rFonts w:ascii="Lato" w:hAnsi="Lato" w:cs="Arial"/>
          <w:b/>
          <w:bCs/>
          <w:sz w:val="24"/>
          <w:lang w:val="en-US"/>
        </w:rPr>
      </w:pPr>
      <w:r>
        <w:rPr>
          <w:rFonts w:ascii="Lato" w:hAnsi="Lato" w:cs="Arial"/>
          <w:b/>
          <w:bCs/>
          <w:sz w:val="24"/>
          <w:lang w:val="en-US"/>
        </w:rPr>
        <w:t>3</w:t>
      </w:r>
      <w:r w:rsidR="00B43B2F">
        <w:rPr>
          <w:rFonts w:ascii="Lato" w:hAnsi="Lato" w:cs="Arial"/>
          <w:b/>
          <w:bCs/>
          <w:sz w:val="24"/>
          <w:lang w:val="en-US"/>
        </w:rPr>
        <w:t>.1</w:t>
      </w:r>
      <w:r w:rsidR="00B43B2F">
        <w:rPr>
          <w:rFonts w:ascii="Lato" w:hAnsi="Lato" w:cs="Arial"/>
          <w:b/>
          <w:bCs/>
          <w:sz w:val="24"/>
          <w:lang w:val="en-US"/>
        </w:rPr>
        <w:tab/>
      </w:r>
      <w:r w:rsidR="00B43B2F" w:rsidRPr="00B43B2F">
        <w:rPr>
          <w:rFonts w:ascii="Lato" w:hAnsi="Lato" w:cs="Arial"/>
          <w:b/>
          <w:bCs/>
          <w:sz w:val="24"/>
          <w:lang w:val="en-US"/>
        </w:rPr>
        <w:t>What is personal information?</w:t>
      </w:r>
    </w:p>
    <w:p w14:paraId="2463F23B" w14:textId="05FE88FF" w:rsidR="009B4A9D" w:rsidRDefault="00B43B2F" w:rsidP="007A6091">
      <w:pPr>
        <w:ind w:left="425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In this policy, </w:t>
      </w:r>
      <w:r w:rsidR="004F2D70">
        <w:rPr>
          <w:rFonts w:ascii="Lato" w:hAnsi="Lato" w:cs="Arial"/>
          <w:bCs/>
          <w:sz w:val="24"/>
          <w:lang w:val="en-US"/>
        </w:rPr>
        <w:t>“</w:t>
      </w:r>
      <w:r>
        <w:rPr>
          <w:rFonts w:ascii="Lato" w:hAnsi="Lato" w:cs="Arial"/>
          <w:bCs/>
          <w:sz w:val="24"/>
          <w:lang w:val="en-US"/>
        </w:rPr>
        <w:t xml:space="preserve">personal </w:t>
      </w:r>
      <w:r w:rsidR="004F2D70">
        <w:rPr>
          <w:rFonts w:ascii="Lato" w:hAnsi="Lato" w:cs="Arial"/>
          <w:bCs/>
          <w:sz w:val="24"/>
          <w:lang w:val="en-US"/>
        </w:rPr>
        <w:t xml:space="preserve">information” </w:t>
      </w:r>
      <w:r>
        <w:rPr>
          <w:rFonts w:ascii="Lato" w:hAnsi="Lato" w:cs="Arial"/>
          <w:bCs/>
          <w:sz w:val="24"/>
          <w:lang w:val="en-US"/>
        </w:rPr>
        <w:t>has the same meaning as defined in the Privacy Act:</w:t>
      </w:r>
    </w:p>
    <w:p w14:paraId="197DCAAD" w14:textId="77777777" w:rsidR="007A6091" w:rsidRDefault="007A6091" w:rsidP="007A6091">
      <w:pPr>
        <w:ind w:left="425"/>
        <w:rPr>
          <w:rFonts w:ascii="Lato" w:hAnsi="Lato" w:cs="Arial"/>
          <w:bCs/>
          <w:sz w:val="24"/>
          <w:lang w:val="en-US"/>
        </w:rPr>
      </w:pPr>
    </w:p>
    <w:p w14:paraId="2950932F" w14:textId="77777777" w:rsidR="00B43B2F" w:rsidRDefault="009B4A9D" w:rsidP="007A6091">
      <w:pPr>
        <w:ind w:left="851" w:right="1132"/>
        <w:rPr>
          <w:rFonts w:ascii="Lato" w:hAnsi="Lato" w:cs="Arial"/>
          <w:bCs/>
          <w:i/>
          <w:sz w:val="24"/>
          <w:lang w:val="en-US"/>
        </w:rPr>
      </w:pPr>
      <w:r>
        <w:rPr>
          <w:rFonts w:ascii="Lato" w:hAnsi="Lato" w:cs="Arial"/>
          <w:bCs/>
          <w:i/>
          <w:sz w:val="24"/>
          <w:lang w:val="en-US"/>
        </w:rPr>
        <w:t>Information or an opinion about an identified individual, or an individual who is reasonably identifiable:</w:t>
      </w:r>
    </w:p>
    <w:p w14:paraId="132B2C12" w14:textId="77777777" w:rsidR="009B4A9D" w:rsidRDefault="009B4A9D" w:rsidP="007A6091">
      <w:pPr>
        <w:pStyle w:val="ListParagraph"/>
        <w:numPr>
          <w:ilvl w:val="0"/>
          <w:numId w:val="74"/>
        </w:numPr>
        <w:ind w:left="1276" w:right="848"/>
        <w:contextualSpacing w:val="0"/>
        <w:rPr>
          <w:rFonts w:ascii="Lato" w:hAnsi="Lato" w:cs="Arial"/>
          <w:bCs/>
          <w:i/>
          <w:sz w:val="24"/>
          <w:lang w:val="en-US"/>
        </w:rPr>
      </w:pPr>
      <w:r>
        <w:rPr>
          <w:rFonts w:ascii="Lato" w:hAnsi="Lato" w:cs="Arial"/>
          <w:bCs/>
          <w:i/>
          <w:sz w:val="24"/>
          <w:lang w:val="en-US"/>
        </w:rPr>
        <w:t>whether the information or opinion is true or not; and</w:t>
      </w:r>
    </w:p>
    <w:p w14:paraId="7A4678A4" w14:textId="77777777" w:rsidR="009B4A9D" w:rsidRPr="009B4A9D" w:rsidRDefault="009B4A9D" w:rsidP="007A6091">
      <w:pPr>
        <w:pStyle w:val="ListParagraph"/>
        <w:numPr>
          <w:ilvl w:val="0"/>
          <w:numId w:val="74"/>
        </w:numPr>
        <w:ind w:left="1276" w:right="848"/>
        <w:contextualSpacing w:val="0"/>
        <w:rPr>
          <w:rFonts w:ascii="Lato" w:hAnsi="Lato" w:cs="Arial"/>
          <w:bCs/>
          <w:i/>
          <w:sz w:val="24"/>
          <w:lang w:val="en-US"/>
        </w:rPr>
      </w:pPr>
      <w:r>
        <w:rPr>
          <w:rFonts w:ascii="Lato" w:hAnsi="Lato" w:cs="Arial"/>
          <w:bCs/>
          <w:i/>
          <w:sz w:val="24"/>
          <w:lang w:val="en-US"/>
        </w:rPr>
        <w:t>whether the information or opinion is recorded in a material form or not.</w:t>
      </w:r>
    </w:p>
    <w:p w14:paraId="3E66565B" w14:textId="77777777" w:rsidR="007A6091" w:rsidRDefault="007A6091" w:rsidP="007A6091">
      <w:pPr>
        <w:ind w:left="426"/>
        <w:rPr>
          <w:rFonts w:ascii="Lato" w:hAnsi="Lato" w:cs="Arial"/>
          <w:bCs/>
          <w:sz w:val="24"/>
          <w:lang w:val="en-US"/>
        </w:rPr>
      </w:pPr>
    </w:p>
    <w:p w14:paraId="7C8F1E11" w14:textId="77777777" w:rsidR="004C4C2A" w:rsidRDefault="004C4C2A" w:rsidP="007A6091">
      <w:pPr>
        <w:ind w:left="426"/>
        <w:rPr>
          <w:rFonts w:ascii="Lato" w:hAnsi="Lato" w:cs="Arial"/>
          <w:bCs/>
          <w:sz w:val="24"/>
          <w:lang w:val="en-US"/>
        </w:rPr>
      </w:pPr>
      <w:r w:rsidRPr="004C4C2A">
        <w:rPr>
          <w:rFonts w:ascii="Lato" w:hAnsi="Lato" w:cs="Arial"/>
          <w:bCs/>
          <w:sz w:val="24"/>
          <w:lang w:val="en-US"/>
        </w:rPr>
        <w:t xml:space="preserve">Personal information can only be information about a </w:t>
      </w:r>
      <w:r>
        <w:rPr>
          <w:rFonts w:ascii="Lato" w:hAnsi="Lato" w:cs="Arial"/>
          <w:bCs/>
          <w:sz w:val="24"/>
          <w:lang w:val="en-US"/>
        </w:rPr>
        <w:t>‘natural’ person. It does not extend to other ‘legal’ persons, such as companies or businesses.</w:t>
      </w:r>
    </w:p>
    <w:p w14:paraId="198160FF" w14:textId="77777777" w:rsidR="004C4C2A" w:rsidRPr="004C4C2A" w:rsidRDefault="004C4C2A" w:rsidP="004C4C2A">
      <w:pPr>
        <w:ind w:left="426"/>
        <w:rPr>
          <w:rFonts w:ascii="Lato" w:hAnsi="Lato" w:cs="Arial"/>
          <w:bCs/>
          <w:sz w:val="24"/>
          <w:lang w:val="en-US"/>
        </w:rPr>
      </w:pPr>
    </w:p>
    <w:p w14:paraId="1372E2FE" w14:textId="7EFA1067" w:rsidR="007663C8" w:rsidRPr="00714A39" w:rsidRDefault="009D417B" w:rsidP="00714A39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Examples of personal information that QECNT may collect through </w:t>
      </w:r>
      <w:r w:rsidR="004C4C2A">
        <w:rPr>
          <w:rFonts w:ascii="Lato" w:hAnsi="Lato" w:cs="Arial"/>
          <w:bCs/>
          <w:sz w:val="24"/>
          <w:lang w:val="en-US"/>
        </w:rPr>
        <w:t xml:space="preserve">its </w:t>
      </w:r>
      <w:r>
        <w:rPr>
          <w:rFonts w:ascii="Lato" w:hAnsi="Lato" w:cs="Arial"/>
          <w:bCs/>
          <w:sz w:val="24"/>
          <w:lang w:val="en-US"/>
        </w:rPr>
        <w:t>administration of the National Quality Framework include</w:t>
      </w:r>
      <w:r w:rsidR="004F2D70">
        <w:rPr>
          <w:rFonts w:ascii="Lato" w:hAnsi="Lato" w:cs="Arial"/>
          <w:bCs/>
          <w:sz w:val="24"/>
          <w:lang w:val="en-US"/>
        </w:rPr>
        <w:t xml:space="preserve">: </w:t>
      </w:r>
      <w:r w:rsidR="004C4C2A">
        <w:rPr>
          <w:rFonts w:ascii="Lato" w:hAnsi="Lato" w:cs="Arial"/>
          <w:bCs/>
          <w:sz w:val="24"/>
          <w:lang w:val="en-US"/>
        </w:rPr>
        <w:t>a person’s name and address</w:t>
      </w:r>
      <w:r w:rsidR="004F2D70">
        <w:rPr>
          <w:rFonts w:ascii="Lato" w:hAnsi="Lato" w:cs="Arial"/>
          <w:bCs/>
          <w:sz w:val="24"/>
          <w:lang w:val="en-US"/>
        </w:rPr>
        <w:t xml:space="preserve">; </w:t>
      </w:r>
      <w:r w:rsidR="004C4C2A">
        <w:rPr>
          <w:rFonts w:ascii="Lato" w:hAnsi="Lato" w:cs="Arial"/>
          <w:bCs/>
          <w:sz w:val="24"/>
          <w:lang w:val="en-US"/>
        </w:rPr>
        <w:t>a photograph</w:t>
      </w:r>
      <w:r w:rsidR="004F2D70">
        <w:rPr>
          <w:rFonts w:ascii="Lato" w:hAnsi="Lato" w:cs="Arial"/>
          <w:bCs/>
          <w:sz w:val="24"/>
          <w:lang w:val="en-US"/>
        </w:rPr>
        <w:t xml:space="preserve">; </w:t>
      </w:r>
      <w:r w:rsidR="004C4C2A">
        <w:rPr>
          <w:rFonts w:ascii="Lato" w:hAnsi="Lato" w:cs="Arial"/>
          <w:bCs/>
          <w:sz w:val="24"/>
          <w:lang w:val="en-US"/>
        </w:rPr>
        <w:t>details of a person’s educational qualifications</w:t>
      </w:r>
      <w:r w:rsidR="004F2D70">
        <w:rPr>
          <w:rFonts w:ascii="Lato" w:hAnsi="Lato" w:cs="Arial"/>
          <w:bCs/>
          <w:sz w:val="24"/>
          <w:lang w:val="en-US"/>
        </w:rPr>
        <w:t>;</w:t>
      </w:r>
      <w:r w:rsidR="004C4C2A">
        <w:rPr>
          <w:rFonts w:ascii="Lato" w:hAnsi="Lato" w:cs="Arial"/>
          <w:bCs/>
          <w:sz w:val="24"/>
          <w:lang w:val="en-US"/>
        </w:rPr>
        <w:t xml:space="preserve"> or an email address.</w:t>
      </w:r>
      <w:r w:rsidR="00714A39">
        <w:rPr>
          <w:rFonts w:ascii="Lato" w:hAnsi="Lato" w:cs="Arial"/>
          <w:bCs/>
          <w:sz w:val="24"/>
          <w:lang w:val="en-US"/>
        </w:rPr>
        <w:t xml:space="preserve"> QECNT may also collect sensitive personal information </w:t>
      </w:r>
      <w:r w:rsidR="00F7744A">
        <w:rPr>
          <w:rFonts w:ascii="Lato" w:hAnsi="Lato" w:cs="Arial"/>
          <w:bCs/>
          <w:sz w:val="24"/>
          <w:lang w:val="en-US"/>
        </w:rPr>
        <w:t>from time to time including</w:t>
      </w:r>
      <w:r w:rsidR="00714A39">
        <w:rPr>
          <w:rFonts w:ascii="Lato" w:hAnsi="Lato" w:cs="Arial"/>
          <w:bCs/>
          <w:sz w:val="24"/>
          <w:lang w:val="en-US"/>
        </w:rPr>
        <w:t xml:space="preserve"> criminal records and health information.</w:t>
      </w:r>
    </w:p>
    <w:p w14:paraId="397AE146" w14:textId="77777777" w:rsidR="00714A39" w:rsidRDefault="00714A39" w:rsidP="00692F72">
      <w:pPr>
        <w:ind w:left="426"/>
        <w:rPr>
          <w:rFonts w:ascii="Lato" w:hAnsi="Lato"/>
          <w:sz w:val="24"/>
          <w:lang w:val="en-US"/>
        </w:rPr>
      </w:pPr>
    </w:p>
    <w:p w14:paraId="7FD1918D" w14:textId="77777777" w:rsidR="007A6091" w:rsidRDefault="007A6091" w:rsidP="00692F72">
      <w:pPr>
        <w:ind w:left="426"/>
        <w:rPr>
          <w:rFonts w:ascii="Lato" w:hAnsi="Lato"/>
          <w:sz w:val="24"/>
          <w:lang w:val="en-US"/>
        </w:rPr>
      </w:pPr>
    </w:p>
    <w:p w14:paraId="3A20FA58" w14:textId="77777777" w:rsidR="00714A39" w:rsidRDefault="00EB3D38" w:rsidP="007A6091">
      <w:pPr>
        <w:tabs>
          <w:tab w:val="left" w:pos="426"/>
        </w:tabs>
        <w:rPr>
          <w:rFonts w:ascii="Lato" w:hAnsi="Lato" w:cs="Arial"/>
          <w:b/>
          <w:bCs/>
          <w:sz w:val="24"/>
          <w:lang w:val="en-US"/>
        </w:rPr>
      </w:pPr>
      <w:r>
        <w:rPr>
          <w:rFonts w:ascii="Lato" w:hAnsi="Lato" w:cs="Arial"/>
          <w:b/>
          <w:bCs/>
          <w:sz w:val="24"/>
          <w:lang w:val="en-US"/>
        </w:rPr>
        <w:lastRenderedPageBreak/>
        <w:t>3</w:t>
      </w:r>
      <w:r w:rsidR="00714A39">
        <w:rPr>
          <w:rFonts w:ascii="Lato" w:hAnsi="Lato" w:cs="Arial"/>
          <w:b/>
          <w:bCs/>
          <w:sz w:val="24"/>
          <w:lang w:val="en-US"/>
        </w:rPr>
        <w:t>.2</w:t>
      </w:r>
      <w:r w:rsidR="00714A39">
        <w:rPr>
          <w:rFonts w:ascii="Lato" w:hAnsi="Lato" w:cs="Arial"/>
          <w:b/>
          <w:bCs/>
          <w:sz w:val="24"/>
          <w:lang w:val="en-US"/>
        </w:rPr>
        <w:tab/>
        <w:t xml:space="preserve">Collecting </w:t>
      </w:r>
      <w:r w:rsidR="002530F4">
        <w:rPr>
          <w:rFonts w:ascii="Lato" w:hAnsi="Lato" w:cs="Arial"/>
          <w:b/>
          <w:bCs/>
          <w:sz w:val="24"/>
          <w:lang w:val="en-US"/>
        </w:rPr>
        <w:t>of</w:t>
      </w:r>
      <w:r w:rsidR="00714A39">
        <w:rPr>
          <w:rFonts w:ascii="Lato" w:hAnsi="Lato" w:cs="Arial"/>
          <w:b/>
          <w:bCs/>
          <w:sz w:val="24"/>
          <w:lang w:val="en-US"/>
        </w:rPr>
        <w:t xml:space="preserve"> personal information</w:t>
      </w:r>
    </w:p>
    <w:p w14:paraId="1E30D97D" w14:textId="71E931FD" w:rsidR="00714A39" w:rsidRDefault="00F62293" w:rsidP="007A6091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QECNT only collects personal information for purposes which directly relate to </w:t>
      </w:r>
      <w:r w:rsidR="004F2D70">
        <w:rPr>
          <w:rFonts w:ascii="Lato" w:hAnsi="Lato" w:cs="Arial"/>
          <w:bCs/>
          <w:sz w:val="24"/>
          <w:lang w:val="en-US"/>
        </w:rPr>
        <w:t xml:space="preserve">its </w:t>
      </w:r>
      <w:r>
        <w:rPr>
          <w:rFonts w:ascii="Lato" w:hAnsi="Lato" w:cs="Arial"/>
          <w:bCs/>
          <w:sz w:val="24"/>
          <w:lang w:val="en-US"/>
        </w:rPr>
        <w:t>functions or activities, and only when it is necessary for</w:t>
      </w:r>
      <w:r w:rsidR="004F2D70">
        <w:rPr>
          <w:rFonts w:ascii="Lato" w:hAnsi="Lato" w:cs="Arial"/>
          <w:bCs/>
          <w:sz w:val="24"/>
          <w:lang w:val="en-US"/>
        </w:rPr>
        <w:t>,</w:t>
      </w:r>
      <w:r>
        <w:rPr>
          <w:rFonts w:ascii="Lato" w:hAnsi="Lato" w:cs="Arial"/>
          <w:bCs/>
          <w:sz w:val="24"/>
          <w:lang w:val="en-US"/>
        </w:rPr>
        <w:t xml:space="preserve"> or directly related to</w:t>
      </w:r>
      <w:r w:rsidR="004F2D70">
        <w:rPr>
          <w:rFonts w:ascii="Lato" w:hAnsi="Lato" w:cs="Arial"/>
          <w:bCs/>
          <w:sz w:val="24"/>
          <w:lang w:val="en-US"/>
        </w:rPr>
        <w:t>,</w:t>
      </w:r>
      <w:r>
        <w:rPr>
          <w:rFonts w:ascii="Lato" w:hAnsi="Lato" w:cs="Arial"/>
          <w:bCs/>
          <w:sz w:val="24"/>
          <w:lang w:val="en-US"/>
        </w:rPr>
        <w:t xml:space="preserve"> those purposes. These purposes include:</w:t>
      </w:r>
    </w:p>
    <w:p w14:paraId="531449E1" w14:textId="77777777" w:rsidR="00F62293" w:rsidRDefault="00F62293" w:rsidP="007A6091">
      <w:pPr>
        <w:pStyle w:val="ListParagraph"/>
        <w:numPr>
          <w:ilvl w:val="0"/>
          <w:numId w:val="75"/>
        </w:numPr>
        <w:ind w:left="851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administering the National Quality Framework</w:t>
      </w:r>
    </w:p>
    <w:p w14:paraId="4C6322CA" w14:textId="3E714346" w:rsidR="00F62293" w:rsidRDefault="00F62293" w:rsidP="007A6091">
      <w:pPr>
        <w:pStyle w:val="ListParagraph"/>
        <w:numPr>
          <w:ilvl w:val="0"/>
          <w:numId w:val="75"/>
        </w:numPr>
        <w:ind w:left="851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assessing and rating approved education and care services agains</w:t>
      </w:r>
      <w:r w:rsidR="00A54ED6">
        <w:rPr>
          <w:rFonts w:ascii="Lato" w:hAnsi="Lato" w:cs="Arial"/>
          <w:bCs/>
          <w:sz w:val="24"/>
          <w:lang w:val="en-US"/>
        </w:rPr>
        <w:t>t the National Quality Standard</w:t>
      </w:r>
      <w:r>
        <w:rPr>
          <w:rFonts w:ascii="Lato" w:hAnsi="Lato" w:cs="Arial"/>
          <w:bCs/>
          <w:sz w:val="24"/>
          <w:lang w:val="en-US"/>
        </w:rPr>
        <w:t xml:space="preserve"> and the </w:t>
      </w:r>
      <w:r w:rsidR="004F2D70">
        <w:rPr>
          <w:rFonts w:ascii="Lato" w:hAnsi="Lato" w:cs="Arial"/>
          <w:bCs/>
          <w:sz w:val="24"/>
          <w:lang w:val="en-US"/>
        </w:rPr>
        <w:t xml:space="preserve">Education and Care Services </w:t>
      </w:r>
      <w:r>
        <w:rPr>
          <w:rFonts w:ascii="Lato" w:hAnsi="Lato" w:cs="Arial"/>
          <w:bCs/>
          <w:sz w:val="24"/>
          <w:lang w:val="en-US"/>
        </w:rPr>
        <w:t>National Regulations</w:t>
      </w:r>
    </w:p>
    <w:p w14:paraId="123A885C" w14:textId="77777777" w:rsidR="00F62293" w:rsidRDefault="00F62293" w:rsidP="007A6091">
      <w:pPr>
        <w:pStyle w:val="ListParagraph"/>
        <w:numPr>
          <w:ilvl w:val="0"/>
          <w:numId w:val="75"/>
        </w:numPr>
        <w:ind w:left="851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monitor</w:t>
      </w:r>
      <w:r w:rsidR="00EF0AB9">
        <w:rPr>
          <w:rFonts w:ascii="Lato" w:hAnsi="Lato" w:cs="Arial"/>
          <w:bCs/>
          <w:sz w:val="24"/>
          <w:lang w:val="en-US"/>
        </w:rPr>
        <w:t>ing and enforcing</w:t>
      </w:r>
      <w:r>
        <w:rPr>
          <w:rFonts w:ascii="Lato" w:hAnsi="Lato" w:cs="Arial"/>
          <w:bCs/>
          <w:sz w:val="24"/>
          <w:lang w:val="en-US"/>
        </w:rPr>
        <w:t xml:space="preserve"> compliance with the National Law</w:t>
      </w:r>
    </w:p>
    <w:p w14:paraId="6A8DF741" w14:textId="77777777" w:rsidR="00F62293" w:rsidRDefault="00EF0AB9" w:rsidP="007A6091">
      <w:pPr>
        <w:pStyle w:val="ListParagraph"/>
        <w:numPr>
          <w:ilvl w:val="0"/>
          <w:numId w:val="75"/>
        </w:numPr>
        <w:ind w:left="851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receiving</w:t>
      </w:r>
      <w:r w:rsidR="00F62293">
        <w:rPr>
          <w:rFonts w:ascii="Lato" w:hAnsi="Lato" w:cs="Arial"/>
          <w:bCs/>
          <w:sz w:val="24"/>
          <w:lang w:val="en-US"/>
        </w:rPr>
        <w:t xml:space="preserve"> </w:t>
      </w:r>
      <w:r>
        <w:rPr>
          <w:rFonts w:ascii="Lato" w:hAnsi="Lato" w:cs="Arial"/>
          <w:bCs/>
          <w:sz w:val="24"/>
          <w:lang w:val="en-US"/>
        </w:rPr>
        <w:t>and investigating</w:t>
      </w:r>
      <w:r w:rsidR="00F62293">
        <w:rPr>
          <w:rFonts w:ascii="Lato" w:hAnsi="Lato" w:cs="Arial"/>
          <w:bCs/>
          <w:sz w:val="24"/>
          <w:lang w:val="en-US"/>
        </w:rPr>
        <w:t xml:space="preserve"> complaints arising under the National Law</w:t>
      </w:r>
    </w:p>
    <w:p w14:paraId="63535D8A" w14:textId="77777777" w:rsidR="00AD0891" w:rsidRDefault="00EF0AB9" w:rsidP="007A6091">
      <w:pPr>
        <w:pStyle w:val="ListParagraph"/>
        <w:numPr>
          <w:ilvl w:val="0"/>
          <w:numId w:val="75"/>
        </w:numPr>
        <w:ind w:left="851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educating</w:t>
      </w:r>
      <w:r w:rsidR="00AD0891">
        <w:rPr>
          <w:rFonts w:ascii="Lato" w:hAnsi="Lato" w:cs="Arial"/>
          <w:bCs/>
          <w:sz w:val="24"/>
          <w:lang w:val="en-US"/>
        </w:rPr>
        <w:t xml:space="preserve"> and inform</w:t>
      </w:r>
      <w:r>
        <w:rPr>
          <w:rFonts w:ascii="Lato" w:hAnsi="Lato" w:cs="Arial"/>
          <w:bCs/>
          <w:sz w:val="24"/>
          <w:lang w:val="en-US"/>
        </w:rPr>
        <w:t>ing</w:t>
      </w:r>
      <w:r w:rsidR="00AD0891">
        <w:rPr>
          <w:rFonts w:ascii="Lato" w:hAnsi="Lato" w:cs="Arial"/>
          <w:bCs/>
          <w:sz w:val="24"/>
          <w:lang w:val="en-US"/>
        </w:rPr>
        <w:t xml:space="preserve"> education and care services and the community </w:t>
      </w:r>
      <w:r w:rsidR="00A54ED6">
        <w:rPr>
          <w:rFonts w:ascii="Lato" w:hAnsi="Lato" w:cs="Arial"/>
          <w:bCs/>
          <w:sz w:val="24"/>
          <w:lang w:val="en-US"/>
        </w:rPr>
        <w:t>about</w:t>
      </w:r>
      <w:r w:rsidR="00AD0891">
        <w:rPr>
          <w:rFonts w:ascii="Lato" w:hAnsi="Lato" w:cs="Arial"/>
          <w:bCs/>
          <w:sz w:val="24"/>
          <w:lang w:val="en-US"/>
        </w:rPr>
        <w:t xml:space="preserve"> the National Quality Framework</w:t>
      </w:r>
    </w:p>
    <w:p w14:paraId="10386AAD" w14:textId="2F7EA434" w:rsidR="00AD0891" w:rsidRDefault="00AD0891" w:rsidP="007A6091">
      <w:pPr>
        <w:pStyle w:val="ListParagraph"/>
        <w:numPr>
          <w:ilvl w:val="0"/>
          <w:numId w:val="75"/>
        </w:numPr>
        <w:ind w:left="851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seeking feedback on QECNT’s functions and activities to improve services</w:t>
      </w:r>
    </w:p>
    <w:p w14:paraId="5F6125C5" w14:textId="22EB8480" w:rsidR="00AE4CC2" w:rsidRDefault="00EF0AB9" w:rsidP="007A6091">
      <w:pPr>
        <w:pStyle w:val="ListParagraph"/>
        <w:numPr>
          <w:ilvl w:val="0"/>
          <w:numId w:val="75"/>
        </w:numPr>
        <w:ind w:left="851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reporting to the </w:t>
      </w:r>
      <w:r w:rsidR="004F2D70">
        <w:rPr>
          <w:rFonts w:ascii="Lato" w:hAnsi="Lato" w:cs="Arial"/>
          <w:bCs/>
          <w:sz w:val="24"/>
          <w:lang w:val="en-US"/>
        </w:rPr>
        <w:t xml:space="preserve">national authority </w:t>
      </w:r>
      <w:r>
        <w:rPr>
          <w:rFonts w:ascii="Lato" w:hAnsi="Lato" w:cs="Arial"/>
          <w:bCs/>
          <w:sz w:val="24"/>
          <w:lang w:val="en-US"/>
        </w:rPr>
        <w:t>on the administration of the National Quality Framework</w:t>
      </w:r>
    </w:p>
    <w:p w14:paraId="2CF2D5E0" w14:textId="77777777" w:rsidR="00AD0891" w:rsidRDefault="00AE4CC2" w:rsidP="007A6091">
      <w:pPr>
        <w:pStyle w:val="ListParagraph"/>
        <w:numPr>
          <w:ilvl w:val="0"/>
          <w:numId w:val="75"/>
        </w:numPr>
        <w:ind w:left="851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selecting, recruiting and engaging staff, consultants and contractors</w:t>
      </w:r>
      <w:r w:rsidR="00EF0AB9">
        <w:rPr>
          <w:rFonts w:ascii="Lato" w:hAnsi="Lato" w:cs="Arial"/>
          <w:bCs/>
          <w:sz w:val="24"/>
          <w:lang w:val="en-US"/>
        </w:rPr>
        <w:t>.</w:t>
      </w:r>
    </w:p>
    <w:p w14:paraId="7B03CE02" w14:textId="77777777" w:rsidR="00880DFC" w:rsidRDefault="00880DFC" w:rsidP="007A6091">
      <w:pPr>
        <w:ind w:left="567"/>
        <w:rPr>
          <w:rFonts w:ascii="Lato" w:hAnsi="Lato" w:cs="Arial"/>
          <w:bCs/>
          <w:sz w:val="24"/>
          <w:lang w:val="en-US"/>
        </w:rPr>
      </w:pPr>
    </w:p>
    <w:p w14:paraId="5C03288C" w14:textId="06A34A48" w:rsidR="00880DFC" w:rsidRDefault="00880DFC" w:rsidP="007A6091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QENCT collects personal information </w:t>
      </w:r>
      <w:r w:rsidR="00CB1234">
        <w:rPr>
          <w:rFonts w:ascii="Lato" w:hAnsi="Lato" w:cs="Arial"/>
          <w:bCs/>
          <w:sz w:val="24"/>
          <w:lang w:val="en-US"/>
        </w:rPr>
        <w:t>both directly from individuals</w:t>
      </w:r>
      <w:r w:rsidR="006F761F">
        <w:rPr>
          <w:rFonts w:ascii="Lato" w:hAnsi="Lato" w:cs="Arial"/>
          <w:bCs/>
          <w:sz w:val="24"/>
          <w:lang w:val="en-US"/>
        </w:rPr>
        <w:t>,</w:t>
      </w:r>
      <w:r w:rsidR="00CB1234">
        <w:rPr>
          <w:rFonts w:ascii="Lato" w:hAnsi="Lato" w:cs="Arial"/>
          <w:bCs/>
          <w:sz w:val="24"/>
          <w:lang w:val="en-US"/>
        </w:rPr>
        <w:t xml:space="preserve"> and indirectly through documents and information provide</w:t>
      </w:r>
      <w:r w:rsidR="005D4FAB">
        <w:rPr>
          <w:rFonts w:ascii="Lato" w:hAnsi="Lato" w:cs="Arial"/>
          <w:bCs/>
          <w:sz w:val="24"/>
          <w:lang w:val="en-US"/>
        </w:rPr>
        <w:t>d</w:t>
      </w:r>
      <w:r w:rsidR="00CB1234">
        <w:rPr>
          <w:rFonts w:ascii="Lato" w:hAnsi="Lato" w:cs="Arial"/>
          <w:bCs/>
          <w:sz w:val="24"/>
          <w:lang w:val="en-US"/>
        </w:rPr>
        <w:t xml:space="preserve"> to QECNT by an individual or organisation. </w:t>
      </w:r>
      <w:r w:rsidR="00A54ED6">
        <w:rPr>
          <w:rFonts w:ascii="Lato" w:hAnsi="Lato" w:cs="Arial"/>
          <w:bCs/>
          <w:sz w:val="24"/>
          <w:lang w:val="en-US"/>
        </w:rPr>
        <w:t>W</w:t>
      </w:r>
      <w:r w:rsidR="00CB1234">
        <w:rPr>
          <w:rFonts w:ascii="Lato" w:hAnsi="Lato" w:cs="Arial"/>
          <w:bCs/>
          <w:sz w:val="24"/>
          <w:lang w:val="en-US"/>
        </w:rPr>
        <w:t xml:space="preserve">here personal information </w:t>
      </w:r>
      <w:r w:rsidR="000A2D27">
        <w:rPr>
          <w:rFonts w:ascii="Lato" w:hAnsi="Lato" w:cs="Arial"/>
          <w:bCs/>
          <w:sz w:val="24"/>
          <w:lang w:val="en-US"/>
        </w:rPr>
        <w:t xml:space="preserve">is obtained </w:t>
      </w:r>
      <w:r w:rsidR="00CB1234">
        <w:rPr>
          <w:rFonts w:ascii="Lato" w:hAnsi="Lato" w:cs="Arial"/>
          <w:bCs/>
          <w:sz w:val="24"/>
          <w:lang w:val="en-US"/>
        </w:rPr>
        <w:t>indirectly</w:t>
      </w:r>
      <w:r w:rsidR="006F761F">
        <w:rPr>
          <w:rFonts w:ascii="Lato" w:hAnsi="Lato" w:cs="Arial"/>
          <w:bCs/>
          <w:sz w:val="24"/>
          <w:lang w:val="en-US"/>
        </w:rPr>
        <w:t>,</w:t>
      </w:r>
      <w:r w:rsidR="00EB6EA4">
        <w:rPr>
          <w:rFonts w:ascii="Lato" w:hAnsi="Lato" w:cs="Arial"/>
          <w:bCs/>
          <w:sz w:val="24"/>
          <w:lang w:val="en-US"/>
        </w:rPr>
        <w:t xml:space="preserve"> and if</w:t>
      </w:r>
      <w:r w:rsidR="006F761F">
        <w:rPr>
          <w:rFonts w:ascii="Lato" w:hAnsi="Lato" w:cs="Arial"/>
          <w:bCs/>
          <w:sz w:val="24"/>
          <w:lang w:val="en-US"/>
        </w:rPr>
        <w:t xml:space="preserve"> there is a need for that information</w:t>
      </w:r>
      <w:r w:rsidR="00EB6EA4">
        <w:rPr>
          <w:rFonts w:ascii="Lato" w:hAnsi="Lato" w:cs="Arial"/>
          <w:bCs/>
          <w:sz w:val="24"/>
          <w:lang w:val="en-US"/>
        </w:rPr>
        <w:t xml:space="preserve"> to be disclosed</w:t>
      </w:r>
      <w:r w:rsidR="005D4FAB">
        <w:rPr>
          <w:rFonts w:ascii="Lato" w:hAnsi="Lato" w:cs="Arial"/>
          <w:bCs/>
          <w:sz w:val="24"/>
          <w:lang w:val="en-US"/>
        </w:rPr>
        <w:t xml:space="preserve">, </w:t>
      </w:r>
      <w:r w:rsidR="000A2D27" w:rsidRPr="005D4FAB">
        <w:rPr>
          <w:rFonts w:ascii="Lato" w:hAnsi="Lato" w:cs="Arial"/>
          <w:bCs/>
          <w:sz w:val="24"/>
          <w:lang w:val="en-US"/>
        </w:rPr>
        <w:t xml:space="preserve">QECNT will take </w:t>
      </w:r>
      <w:r w:rsidR="00EB6EA4">
        <w:rPr>
          <w:rFonts w:ascii="Lato" w:hAnsi="Lato" w:cs="Arial"/>
          <w:bCs/>
          <w:sz w:val="24"/>
          <w:lang w:val="en-US"/>
        </w:rPr>
        <w:t xml:space="preserve">reasonable </w:t>
      </w:r>
      <w:r w:rsidR="000A2D27" w:rsidRPr="005D4FAB">
        <w:rPr>
          <w:rFonts w:ascii="Lato" w:hAnsi="Lato" w:cs="Arial"/>
          <w:bCs/>
          <w:sz w:val="24"/>
          <w:lang w:val="en-US"/>
        </w:rPr>
        <w:t>steps to obtain the consent of the individual</w:t>
      </w:r>
      <w:r w:rsidR="00EB6EA4">
        <w:rPr>
          <w:rFonts w:ascii="Lato" w:hAnsi="Lato" w:cs="Arial"/>
          <w:bCs/>
          <w:sz w:val="24"/>
          <w:lang w:val="en-US"/>
        </w:rPr>
        <w:t>s concerned</w:t>
      </w:r>
      <w:r w:rsidR="00FC167C">
        <w:rPr>
          <w:rFonts w:ascii="Lato" w:hAnsi="Lato" w:cs="Arial"/>
          <w:bCs/>
          <w:sz w:val="24"/>
          <w:lang w:val="en-US"/>
        </w:rPr>
        <w:t xml:space="preserve">, </w:t>
      </w:r>
      <w:r w:rsidR="00EB6EA4">
        <w:rPr>
          <w:rFonts w:ascii="Lato" w:hAnsi="Lato" w:cs="Arial"/>
          <w:bCs/>
          <w:sz w:val="24"/>
          <w:lang w:val="en-US"/>
        </w:rPr>
        <w:t>unless</w:t>
      </w:r>
      <w:r w:rsidR="002163F9">
        <w:rPr>
          <w:rFonts w:ascii="Lato" w:hAnsi="Lato" w:cs="Arial"/>
          <w:bCs/>
          <w:sz w:val="24"/>
          <w:lang w:val="en-US"/>
        </w:rPr>
        <w:t xml:space="preserve"> there is a permitted general situation to not seek consent</w:t>
      </w:r>
      <w:r w:rsidR="00EB6EA4">
        <w:rPr>
          <w:rFonts w:ascii="Lato" w:hAnsi="Lato" w:cs="Arial"/>
          <w:bCs/>
          <w:sz w:val="24"/>
          <w:lang w:val="en-US"/>
        </w:rPr>
        <w:t xml:space="preserve"> in line with section 16A of the Privacy Act.</w:t>
      </w:r>
    </w:p>
    <w:p w14:paraId="00376C96" w14:textId="77777777" w:rsidR="000A2D27" w:rsidRDefault="000A2D27" w:rsidP="007A6091">
      <w:pPr>
        <w:ind w:left="567"/>
        <w:rPr>
          <w:rFonts w:ascii="Lato" w:hAnsi="Lato" w:cs="Arial"/>
          <w:bCs/>
          <w:sz w:val="24"/>
          <w:lang w:val="en-US"/>
        </w:rPr>
      </w:pPr>
    </w:p>
    <w:p w14:paraId="694D7548" w14:textId="77777777" w:rsidR="00AF29EC" w:rsidRDefault="00EB3D38" w:rsidP="007A6091">
      <w:pPr>
        <w:tabs>
          <w:tab w:val="left" w:pos="426"/>
        </w:tabs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/>
          <w:bCs/>
          <w:sz w:val="24"/>
          <w:lang w:val="en-US"/>
        </w:rPr>
        <w:t>3</w:t>
      </w:r>
      <w:r w:rsidR="00AF29EC">
        <w:rPr>
          <w:rFonts w:ascii="Lato" w:hAnsi="Lato" w:cs="Arial"/>
          <w:b/>
          <w:bCs/>
          <w:sz w:val="24"/>
          <w:lang w:val="en-US"/>
        </w:rPr>
        <w:t>.3</w:t>
      </w:r>
      <w:r w:rsidR="00AF29EC">
        <w:rPr>
          <w:rFonts w:ascii="Lato" w:hAnsi="Lato" w:cs="Arial"/>
          <w:b/>
          <w:bCs/>
          <w:sz w:val="24"/>
          <w:lang w:val="en-US"/>
        </w:rPr>
        <w:tab/>
        <w:t>Use and disclosure</w:t>
      </w:r>
    </w:p>
    <w:p w14:paraId="5B992D3D" w14:textId="6132AB1A" w:rsidR="00AD4372" w:rsidRDefault="00C21379" w:rsidP="007A6091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QECNT will only use personal information for the purposes</w:t>
      </w:r>
      <w:r w:rsidR="00FC167C">
        <w:rPr>
          <w:rFonts w:ascii="Lato" w:hAnsi="Lato" w:cs="Arial"/>
          <w:bCs/>
          <w:sz w:val="24"/>
          <w:lang w:val="en-US"/>
        </w:rPr>
        <w:t xml:space="preserve"> for which</w:t>
      </w:r>
      <w:r>
        <w:rPr>
          <w:rFonts w:ascii="Lato" w:hAnsi="Lato" w:cs="Arial"/>
          <w:bCs/>
          <w:sz w:val="24"/>
          <w:lang w:val="en-US"/>
        </w:rPr>
        <w:t xml:space="preserve"> it was collected, or for a purpose directly </w:t>
      </w:r>
      <w:r w:rsidR="00FC167C">
        <w:rPr>
          <w:rFonts w:ascii="Lato" w:hAnsi="Lato" w:cs="Arial"/>
          <w:bCs/>
          <w:sz w:val="24"/>
          <w:lang w:val="en-US"/>
        </w:rPr>
        <w:t xml:space="preserve">related </w:t>
      </w:r>
      <w:r>
        <w:rPr>
          <w:rFonts w:ascii="Lato" w:hAnsi="Lato" w:cs="Arial"/>
          <w:bCs/>
          <w:sz w:val="24"/>
          <w:lang w:val="en-US"/>
        </w:rPr>
        <w:t xml:space="preserve">to one of </w:t>
      </w:r>
      <w:r w:rsidR="00BB5840">
        <w:rPr>
          <w:rFonts w:ascii="Lato" w:hAnsi="Lato" w:cs="Arial"/>
          <w:bCs/>
          <w:sz w:val="24"/>
          <w:lang w:val="en-US"/>
        </w:rPr>
        <w:t>QECNT’s</w:t>
      </w:r>
      <w:r w:rsidR="00FC167C">
        <w:rPr>
          <w:rFonts w:ascii="Lato" w:hAnsi="Lato" w:cs="Arial"/>
          <w:bCs/>
          <w:sz w:val="24"/>
          <w:lang w:val="en-US"/>
        </w:rPr>
        <w:t xml:space="preserve"> </w:t>
      </w:r>
      <w:r>
        <w:rPr>
          <w:rFonts w:ascii="Lato" w:hAnsi="Lato" w:cs="Arial"/>
          <w:bCs/>
          <w:sz w:val="24"/>
          <w:lang w:val="en-US"/>
        </w:rPr>
        <w:t>functions or act</w:t>
      </w:r>
      <w:r w:rsidR="007A6091">
        <w:rPr>
          <w:rFonts w:ascii="Lato" w:hAnsi="Lato" w:cs="Arial"/>
          <w:bCs/>
          <w:sz w:val="24"/>
          <w:lang w:val="en-US"/>
        </w:rPr>
        <w:t>ivities under the National Law.</w:t>
      </w:r>
    </w:p>
    <w:p w14:paraId="1E695C79" w14:textId="77777777" w:rsidR="00AD4372" w:rsidRDefault="00AD4372" w:rsidP="007A6091">
      <w:pPr>
        <w:ind w:left="426"/>
        <w:rPr>
          <w:rFonts w:ascii="Lato" w:hAnsi="Lato" w:cs="Arial"/>
          <w:bCs/>
          <w:sz w:val="24"/>
          <w:lang w:val="en-US"/>
        </w:rPr>
      </w:pPr>
    </w:p>
    <w:p w14:paraId="4B0D433B" w14:textId="1CC963F5" w:rsidR="00AF29EC" w:rsidRDefault="00C21379" w:rsidP="007A6091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QECNT will not use or disclose personal information to government agencies, organisations or anyone else unless </w:t>
      </w:r>
      <w:r w:rsidRPr="00870C28">
        <w:rPr>
          <w:rFonts w:ascii="Lato" w:hAnsi="Lato" w:cs="Arial"/>
          <w:bCs/>
          <w:sz w:val="24"/>
          <w:u w:val="single"/>
          <w:lang w:val="en-US"/>
        </w:rPr>
        <w:t>one</w:t>
      </w:r>
      <w:r w:rsidR="007A6091">
        <w:rPr>
          <w:rFonts w:ascii="Lato" w:hAnsi="Lato" w:cs="Arial"/>
          <w:bCs/>
          <w:sz w:val="24"/>
          <w:lang w:val="en-US"/>
        </w:rPr>
        <w:t xml:space="preserve"> of the following applies:</w:t>
      </w:r>
    </w:p>
    <w:p w14:paraId="56D90DE4" w14:textId="77777777" w:rsidR="000A2D27" w:rsidRDefault="00AB1649" w:rsidP="007A6091">
      <w:pPr>
        <w:pStyle w:val="ListParagraph"/>
        <w:numPr>
          <w:ilvl w:val="0"/>
          <w:numId w:val="76"/>
        </w:numPr>
        <w:ind w:left="850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the individual has consented</w:t>
      </w:r>
    </w:p>
    <w:p w14:paraId="5FF6CD67" w14:textId="77777777" w:rsidR="00AB1649" w:rsidRDefault="00AB1649" w:rsidP="007A6091">
      <w:pPr>
        <w:pStyle w:val="ListParagraph"/>
        <w:numPr>
          <w:ilvl w:val="0"/>
          <w:numId w:val="76"/>
        </w:numPr>
        <w:ind w:left="850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the individual would reasonably expect, or has been told, that information of that kind is usually disclosed to that agency, organisation o</w:t>
      </w:r>
      <w:r w:rsidR="00FF6667">
        <w:rPr>
          <w:rFonts w:ascii="Lato" w:hAnsi="Lato" w:cs="Arial"/>
          <w:bCs/>
          <w:sz w:val="24"/>
          <w:lang w:val="en-US"/>
        </w:rPr>
        <w:t>r</w:t>
      </w:r>
      <w:r>
        <w:rPr>
          <w:rFonts w:ascii="Lato" w:hAnsi="Lato" w:cs="Arial"/>
          <w:bCs/>
          <w:sz w:val="24"/>
          <w:lang w:val="en-US"/>
        </w:rPr>
        <w:t xml:space="preserve"> person</w:t>
      </w:r>
    </w:p>
    <w:p w14:paraId="1A32BFA3" w14:textId="77777777" w:rsidR="00AB1649" w:rsidRDefault="00AB1649" w:rsidP="007A6091">
      <w:pPr>
        <w:pStyle w:val="ListParagraph"/>
        <w:numPr>
          <w:ilvl w:val="0"/>
          <w:numId w:val="76"/>
        </w:numPr>
        <w:ind w:left="850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it is otherwise required or authorised by law</w:t>
      </w:r>
    </w:p>
    <w:p w14:paraId="27EE942D" w14:textId="6FDAF4D6" w:rsidR="00AB1649" w:rsidRDefault="00AB1649" w:rsidP="007A6091">
      <w:pPr>
        <w:pStyle w:val="ListParagraph"/>
        <w:numPr>
          <w:ilvl w:val="0"/>
          <w:numId w:val="76"/>
        </w:numPr>
        <w:ind w:left="850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it will prevent or lessen a serious and</w:t>
      </w:r>
      <w:r w:rsidR="006A2A60">
        <w:rPr>
          <w:rFonts w:ascii="Lato" w:hAnsi="Lato" w:cs="Arial"/>
          <w:bCs/>
          <w:sz w:val="24"/>
          <w:lang w:val="en-US"/>
        </w:rPr>
        <w:t>/or</w:t>
      </w:r>
      <w:r>
        <w:rPr>
          <w:rFonts w:ascii="Lato" w:hAnsi="Lato" w:cs="Arial"/>
          <w:bCs/>
          <w:sz w:val="24"/>
          <w:lang w:val="en-US"/>
        </w:rPr>
        <w:t xml:space="preserve"> imminent threat to </w:t>
      </w:r>
      <w:r w:rsidR="00FC167C">
        <w:rPr>
          <w:rFonts w:ascii="Lato" w:hAnsi="Lato" w:cs="Arial"/>
          <w:bCs/>
          <w:sz w:val="24"/>
          <w:lang w:val="en-US"/>
        </w:rPr>
        <w:t xml:space="preserve">a person’s </w:t>
      </w:r>
      <w:r>
        <w:rPr>
          <w:rFonts w:ascii="Lato" w:hAnsi="Lato" w:cs="Arial"/>
          <w:bCs/>
          <w:sz w:val="24"/>
          <w:lang w:val="en-US"/>
        </w:rPr>
        <w:t>life or health</w:t>
      </w:r>
    </w:p>
    <w:p w14:paraId="06B75286" w14:textId="70862B7C" w:rsidR="0002357A" w:rsidRDefault="00AB1649" w:rsidP="007A6091">
      <w:pPr>
        <w:pStyle w:val="ListParagraph"/>
        <w:numPr>
          <w:ilvl w:val="0"/>
          <w:numId w:val="76"/>
        </w:numPr>
        <w:ind w:left="850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it is reasonably necessary for the </w:t>
      </w:r>
      <w:r w:rsidR="006A2A60">
        <w:rPr>
          <w:rFonts w:ascii="Lato" w:hAnsi="Lato" w:cs="Arial"/>
          <w:bCs/>
          <w:sz w:val="24"/>
          <w:lang w:val="en-US"/>
        </w:rPr>
        <w:t xml:space="preserve">enforcement of the criminal law, </w:t>
      </w:r>
      <w:r>
        <w:rPr>
          <w:rFonts w:ascii="Lato" w:hAnsi="Lato" w:cs="Arial"/>
          <w:bCs/>
          <w:sz w:val="24"/>
          <w:lang w:val="en-US"/>
        </w:rPr>
        <w:t xml:space="preserve">a law imposing a </w:t>
      </w:r>
      <w:r w:rsidR="00BE02ED">
        <w:rPr>
          <w:rFonts w:ascii="Lato" w:hAnsi="Lato" w:cs="Arial"/>
          <w:bCs/>
          <w:sz w:val="24"/>
          <w:lang w:val="en-US"/>
        </w:rPr>
        <w:t>monetary</w:t>
      </w:r>
      <w:r>
        <w:rPr>
          <w:rFonts w:ascii="Lato" w:hAnsi="Lato" w:cs="Arial"/>
          <w:bCs/>
          <w:sz w:val="24"/>
          <w:lang w:val="en-US"/>
        </w:rPr>
        <w:t xml:space="preserve"> penalty or for the protection of public revenue.</w:t>
      </w:r>
    </w:p>
    <w:p w14:paraId="41E59FCB" w14:textId="77777777" w:rsidR="000A4274" w:rsidRPr="000A4274" w:rsidRDefault="000A4274" w:rsidP="007A6091">
      <w:pPr>
        <w:pStyle w:val="ListParagraph"/>
        <w:ind w:left="851"/>
        <w:contextualSpacing w:val="0"/>
        <w:rPr>
          <w:rFonts w:ascii="Lato" w:hAnsi="Lato" w:cs="Arial"/>
          <w:bCs/>
          <w:sz w:val="24"/>
          <w:lang w:val="en-US"/>
        </w:rPr>
      </w:pPr>
    </w:p>
    <w:p w14:paraId="213002AB" w14:textId="77777777" w:rsidR="00714A39" w:rsidRDefault="00EB3D38" w:rsidP="007A6091">
      <w:pPr>
        <w:tabs>
          <w:tab w:val="left" w:pos="426"/>
        </w:tabs>
        <w:rPr>
          <w:rFonts w:ascii="Lato" w:hAnsi="Lato" w:cs="Arial"/>
          <w:b/>
          <w:bCs/>
          <w:sz w:val="24"/>
          <w:lang w:val="en-US"/>
        </w:rPr>
      </w:pPr>
      <w:r>
        <w:rPr>
          <w:rFonts w:ascii="Lato" w:hAnsi="Lato" w:cs="Arial"/>
          <w:b/>
          <w:bCs/>
          <w:sz w:val="24"/>
          <w:lang w:val="en-US"/>
        </w:rPr>
        <w:t>3</w:t>
      </w:r>
      <w:r w:rsidR="00AD4372">
        <w:rPr>
          <w:rFonts w:ascii="Lato" w:hAnsi="Lato" w:cs="Arial"/>
          <w:b/>
          <w:bCs/>
          <w:sz w:val="24"/>
          <w:lang w:val="en-US"/>
        </w:rPr>
        <w:t>.4</w:t>
      </w:r>
      <w:r w:rsidR="00AD4372">
        <w:rPr>
          <w:rFonts w:ascii="Lato" w:hAnsi="Lato" w:cs="Arial"/>
          <w:b/>
          <w:bCs/>
          <w:sz w:val="24"/>
          <w:lang w:val="en-US"/>
        </w:rPr>
        <w:tab/>
        <w:t>Data quality</w:t>
      </w:r>
      <w:r w:rsidR="002530F4">
        <w:rPr>
          <w:rFonts w:ascii="Lato" w:hAnsi="Lato" w:cs="Arial"/>
          <w:b/>
          <w:bCs/>
          <w:sz w:val="24"/>
          <w:lang w:val="en-US"/>
        </w:rPr>
        <w:t xml:space="preserve"> and security</w:t>
      </w:r>
    </w:p>
    <w:p w14:paraId="49E31E61" w14:textId="2D0A7A5B" w:rsidR="005D4FAB" w:rsidRDefault="005D4FAB" w:rsidP="007A6091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QECNT </w:t>
      </w:r>
      <w:r w:rsidR="002530F4">
        <w:rPr>
          <w:rFonts w:ascii="Lato" w:hAnsi="Lato" w:cs="Arial"/>
          <w:bCs/>
          <w:sz w:val="24"/>
          <w:lang w:val="en-US"/>
        </w:rPr>
        <w:t xml:space="preserve">takes reasonable steps to ensure that personal information collected is accurate, up to date and complete. These steps include updating </w:t>
      </w:r>
      <w:r w:rsidR="00FC167C">
        <w:rPr>
          <w:rFonts w:ascii="Lato" w:hAnsi="Lato" w:cs="Arial"/>
          <w:bCs/>
          <w:sz w:val="24"/>
          <w:lang w:val="en-US"/>
        </w:rPr>
        <w:t xml:space="preserve">records of </w:t>
      </w:r>
      <w:r w:rsidR="002530F4">
        <w:rPr>
          <w:rFonts w:ascii="Lato" w:hAnsi="Lato" w:cs="Arial"/>
          <w:bCs/>
          <w:sz w:val="24"/>
          <w:lang w:val="en-US"/>
        </w:rPr>
        <w:t xml:space="preserve">personal information </w:t>
      </w:r>
      <w:r w:rsidR="00FC167C">
        <w:rPr>
          <w:rFonts w:ascii="Lato" w:hAnsi="Lato" w:cs="Arial"/>
          <w:bCs/>
          <w:sz w:val="24"/>
          <w:lang w:val="en-US"/>
        </w:rPr>
        <w:t>when advised by an individual that there has been a change to their</w:t>
      </w:r>
      <w:r w:rsidR="002530F4">
        <w:rPr>
          <w:rFonts w:ascii="Lato" w:hAnsi="Lato" w:cs="Arial"/>
          <w:bCs/>
          <w:sz w:val="24"/>
          <w:lang w:val="en-US"/>
        </w:rPr>
        <w:t xml:space="preserve"> personal information.</w:t>
      </w:r>
    </w:p>
    <w:p w14:paraId="29115B49" w14:textId="77777777" w:rsidR="002530F4" w:rsidRDefault="002530F4" w:rsidP="005D4FAB">
      <w:pPr>
        <w:ind w:left="426"/>
        <w:rPr>
          <w:rFonts w:ascii="Lato" w:hAnsi="Lato" w:cs="Arial"/>
          <w:bCs/>
          <w:sz w:val="24"/>
          <w:lang w:val="en-US"/>
        </w:rPr>
      </w:pPr>
    </w:p>
    <w:p w14:paraId="19E7D684" w14:textId="686055A0" w:rsidR="002530F4" w:rsidRDefault="002530F4" w:rsidP="005D4FAB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QECNT also takes reason</w:t>
      </w:r>
      <w:r w:rsidR="00AD6B3F">
        <w:rPr>
          <w:rFonts w:ascii="Lato" w:hAnsi="Lato" w:cs="Arial"/>
          <w:bCs/>
          <w:sz w:val="24"/>
          <w:lang w:val="en-US"/>
        </w:rPr>
        <w:t xml:space="preserve">able administrative, technical </w:t>
      </w:r>
      <w:r>
        <w:rPr>
          <w:rFonts w:ascii="Lato" w:hAnsi="Lato" w:cs="Arial"/>
          <w:bCs/>
          <w:sz w:val="24"/>
          <w:lang w:val="en-US"/>
        </w:rPr>
        <w:t xml:space="preserve">and physical measures to protect information </w:t>
      </w:r>
      <w:r w:rsidR="00FC167C">
        <w:rPr>
          <w:rFonts w:ascii="Lato" w:hAnsi="Lato" w:cs="Arial"/>
          <w:bCs/>
          <w:sz w:val="24"/>
          <w:lang w:val="en-US"/>
        </w:rPr>
        <w:t>it holds</w:t>
      </w:r>
      <w:r>
        <w:rPr>
          <w:rFonts w:ascii="Lato" w:hAnsi="Lato" w:cs="Arial"/>
          <w:bCs/>
          <w:sz w:val="24"/>
          <w:lang w:val="en-US"/>
        </w:rPr>
        <w:t xml:space="preserve"> against loss, theft</w:t>
      </w:r>
      <w:r w:rsidR="002E7396">
        <w:rPr>
          <w:rFonts w:ascii="Lato" w:hAnsi="Lato" w:cs="Arial"/>
          <w:bCs/>
          <w:sz w:val="24"/>
          <w:lang w:val="en-US"/>
        </w:rPr>
        <w:t xml:space="preserve"> and </w:t>
      </w:r>
      <w:r>
        <w:rPr>
          <w:rFonts w:ascii="Lato" w:hAnsi="Lato" w:cs="Arial"/>
          <w:bCs/>
          <w:sz w:val="24"/>
          <w:lang w:val="en-US"/>
        </w:rPr>
        <w:t>unauthori</w:t>
      </w:r>
      <w:r w:rsidR="00106C4A">
        <w:rPr>
          <w:rFonts w:ascii="Lato" w:hAnsi="Lato" w:cs="Arial"/>
          <w:bCs/>
          <w:sz w:val="24"/>
          <w:lang w:val="en-US"/>
        </w:rPr>
        <w:t>s</w:t>
      </w:r>
      <w:r>
        <w:rPr>
          <w:rFonts w:ascii="Lato" w:hAnsi="Lato" w:cs="Arial"/>
          <w:bCs/>
          <w:sz w:val="24"/>
          <w:lang w:val="en-US"/>
        </w:rPr>
        <w:t xml:space="preserve">ed </w:t>
      </w:r>
      <w:r w:rsidR="002E7396">
        <w:rPr>
          <w:rFonts w:ascii="Lato" w:hAnsi="Lato" w:cs="Arial"/>
          <w:bCs/>
          <w:sz w:val="24"/>
          <w:lang w:val="en-US"/>
        </w:rPr>
        <w:t xml:space="preserve">access, </w:t>
      </w:r>
      <w:r>
        <w:rPr>
          <w:rFonts w:ascii="Lato" w:hAnsi="Lato" w:cs="Arial"/>
          <w:bCs/>
          <w:sz w:val="24"/>
          <w:lang w:val="en-US"/>
        </w:rPr>
        <w:t xml:space="preserve">use, disclosure or modification. </w:t>
      </w:r>
    </w:p>
    <w:p w14:paraId="6E1D3501" w14:textId="77777777" w:rsidR="002530F4" w:rsidRDefault="002530F4" w:rsidP="005D4FAB">
      <w:pPr>
        <w:ind w:left="426"/>
        <w:rPr>
          <w:rFonts w:ascii="Lato" w:hAnsi="Lato" w:cs="Arial"/>
          <w:bCs/>
          <w:sz w:val="24"/>
          <w:lang w:val="en-US"/>
        </w:rPr>
      </w:pPr>
    </w:p>
    <w:p w14:paraId="71876A43" w14:textId="77777777" w:rsidR="002530F4" w:rsidRDefault="00AD6B3F" w:rsidP="005D4FAB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P</w:t>
      </w:r>
      <w:r w:rsidR="00231BB9">
        <w:rPr>
          <w:rFonts w:ascii="Lato" w:hAnsi="Lato" w:cs="Arial"/>
          <w:bCs/>
          <w:sz w:val="24"/>
          <w:lang w:val="en-US"/>
        </w:rPr>
        <w:t xml:space="preserve">ersonal information </w:t>
      </w:r>
      <w:r>
        <w:rPr>
          <w:rFonts w:ascii="Lato" w:hAnsi="Lato" w:cs="Arial"/>
          <w:bCs/>
          <w:sz w:val="24"/>
          <w:lang w:val="en-US"/>
        </w:rPr>
        <w:t xml:space="preserve">that </w:t>
      </w:r>
      <w:r w:rsidR="00231BB9">
        <w:rPr>
          <w:rFonts w:ascii="Lato" w:hAnsi="Lato" w:cs="Arial"/>
          <w:bCs/>
          <w:sz w:val="24"/>
          <w:lang w:val="en-US"/>
        </w:rPr>
        <w:t>is no longer required is deleted</w:t>
      </w:r>
      <w:r w:rsidR="009B124A">
        <w:rPr>
          <w:rFonts w:ascii="Lato" w:hAnsi="Lato" w:cs="Arial"/>
          <w:bCs/>
          <w:sz w:val="24"/>
          <w:lang w:val="en-US"/>
        </w:rPr>
        <w:t xml:space="preserve"> or</w:t>
      </w:r>
      <w:r w:rsidR="00231BB9">
        <w:rPr>
          <w:rFonts w:ascii="Lato" w:hAnsi="Lato" w:cs="Arial"/>
          <w:bCs/>
          <w:sz w:val="24"/>
          <w:lang w:val="en-US"/>
        </w:rPr>
        <w:t xml:space="preserve"> destroyed in a secure mann</w:t>
      </w:r>
      <w:r w:rsidR="009B124A">
        <w:rPr>
          <w:rFonts w:ascii="Lato" w:hAnsi="Lato" w:cs="Arial"/>
          <w:bCs/>
          <w:sz w:val="24"/>
          <w:lang w:val="en-US"/>
        </w:rPr>
        <w:t>er in accordance with the disposal schedule at Appendix A.</w:t>
      </w:r>
    </w:p>
    <w:p w14:paraId="730472C4" w14:textId="77777777" w:rsidR="00106C4A" w:rsidRDefault="00106C4A" w:rsidP="00AF133F">
      <w:pPr>
        <w:rPr>
          <w:rFonts w:ascii="Lato" w:hAnsi="Lato" w:cs="Arial"/>
          <w:bCs/>
          <w:sz w:val="24"/>
          <w:lang w:val="en-US"/>
        </w:rPr>
      </w:pPr>
    </w:p>
    <w:p w14:paraId="750C5D0E" w14:textId="77777777" w:rsidR="007A6091" w:rsidRDefault="007A6091" w:rsidP="00AF133F">
      <w:pPr>
        <w:rPr>
          <w:rFonts w:ascii="Lato" w:hAnsi="Lato" w:cs="Arial"/>
          <w:bCs/>
          <w:sz w:val="24"/>
          <w:lang w:val="en-US"/>
        </w:rPr>
      </w:pPr>
    </w:p>
    <w:p w14:paraId="0CB3AEBC" w14:textId="0F5DFC90" w:rsidR="00AF133F" w:rsidRDefault="00EB3D38" w:rsidP="007A6091">
      <w:pPr>
        <w:ind w:left="425" w:hanging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/>
          <w:bCs/>
          <w:sz w:val="24"/>
          <w:lang w:val="en-US"/>
        </w:rPr>
        <w:t>3</w:t>
      </w:r>
      <w:r w:rsidR="00AF133F">
        <w:rPr>
          <w:rFonts w:ascii="Lato" w:hAnsi="Lato" w:cs="Arial"/>
          <w:b/>
          <w:bCs/>
          <w:sz w:val="24"/>
          <w:lang w:val="en-US"/>
        </w:rPr>
        <w:t>.5</w:t>
      </w:r>
      <w:r w:rsidR="00AF133F">
        <w:rPr>
          <w:rFonts w:ascii="Lato" w:hAnsi="Lato" w:cs="Arial"/>
          <w:b/>
          <w:bCs/>
          <w:sz w:val="24"/>
          <w:lang w:val="en-US"/>
        </w:rPr>
        <w:tab/>
        <w:t>Ho</w:t>
      </w:r>
      <w:r w:rsidR="00AA6657">
        <w:rPr>
          <w:rFonts w:ascii="Lato" w:hAnsi="Lato" w:cs="Arial"/>
          <w:b/>
          <w:bCs/>
          <w:sz w:val="24"/>
          <w:lang w:val="en-US"/>
        </w:rPr>
        <w:t>w</w:t>
      </w:r>
      <w:r w:rsidR="00AF133F">
        <w:rPr>
          <w:rFonts w:ascii="Lato" w:hAnsi="Lato" w:cs="Arial"/>
          <w:b/>
          <w:bCs/>
          <w:sz w:val="24"/>
          <w:lang w:val="en-US"/>
        </w:rPr>
        <w:t xml:space="preserve"> </w:t>
      </w:r>
      <w:r w:rsidR="00FC167C">
        <w:rPr>
          <w:rFonts w:ascii="Lato" w:hAnsi="Lato" w:cs="Arial"/>
          <w:b/>
          <w:bCs/>
          <w:sz w:val="24"/>
          <w:lang w:val="en-US"/>
        </w:rPr>
        <w:t xml:space="preserve">QECNT </w:t>
      </w:r>
      <w:r w:rsidR="00AF133F">
        <w:rPr>
          <w:rFonts w:ascii="Lato" w:hAnsi="Lato" w:cs="Arial"/>
          <w:b/>
          <w:bCs/>
          <w:sz w:val="24"/>
          <w:lang w:val="en-US"/>
        </w:rPr>
        <w:t>manage</w:t>
      </w:r>
      <w:r w:rsidR="00FC167C">
        <w:rPr>
          <w:rFonts w:ascii="Lato" w:hAnsi="Lato" w:cs="Arial"/>
          <w:b/>
          <w:bCs/>
          <w:sz w:val="24"/>
          <w:lang w:val="en-US"/>
        </w:rPr>
        <w:t>s</w:t>
      </w:r>
      <w:r w:rsidR="00AF133F">
        <w:rPr>
          <w:rFonts w:ascii="Lato" w:hAnsi="Lato" w:cs="Arial"/>
          <w:b/>
          <w:bCs/>
          <w:sz w:val="24"/>
          <w:lang w:val="en-US"/>
        </w:rPr>
        <w:t xml:space="preserve"> </w:t>
      </w:r>
      <w:r w:rsidR="00BB5840">
        <w:rPr>
          <w:rFonts w:ascii="Lato" w:hAnsi="Lato" w:cs="Arial"/>
          <w:b/>
          <w:bCs/>
          <w:sz w:val="24"/>
          <w:lang w:val="en-US"/>
        </w:rPr>
        <w:t xml:space="preserve">a </w:t>
      </w:r>
      <w:r w:rsidR="00AF133F">
        <w:rPr>
          <w:rFonts w:ascii="Lato" w:hAnsi="Lato" w:cs="Arial"/>
          <w:b/>
          <w:bCs/>
          <w:sz w:val="24"/>
          <w:lang w:val="en-US"/>
        </w:rPr>
        <w:t>data breach</w:t>
      </w:r>
    </w:p>
    <w:p w14:paraId="64431A91" w14:textId="3C7E6F62" w:rsidR="00AF133F" w:rsidRDefault="00AF133F" w:rsidP="007A6091">
      <w:pPr>
        <w:ind w:left="425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lastRenderedPageBreak/>
        <w:t>A data breach occurs when personal information is lost or subjected to unauthorised access, m</w:t>
      </w:r>
      <w:r w:rsidR="007A6091">
        <w:rPr>
          <w:rFonts w:ascii="Lato" w:hAnsi="Lato" w:cs="Arial"/>
          <w:bCs/>
          <w:sz w:val="24"/>
          <w:lang w:val="en-US"/>
        </w:rPr>
        <w:t>odification, use or disclosure.</w:t>
      </w:r>
    </w:p>
    <w:p w14:paraId="7D5F1652" w14:textId="77777777" w:rsidR="00AF133F" w:rsidRDefault="00AF133F" w:rsidP="005D4FAB">
      <w:pPr>
        <w:ind w:left="426"/>
        <w:rPr>
          <w:rFonts w:ascii="Lato" w:hAnsi="Lato" w:cs="Arial"/>
          <w:bCs/>
          <w:sz w:val="24"/>
          <w:lang w:val="en-US"/>
        </w:rPr>
      </w:pPr>
    </w:p>
    <w:p w14:paraId="43E84C56" w14:textId="23AEE985" w:rsidR="00AF133F" w:rsidRDefault="00AF133F" w:rsidP="005D4FAB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I</w:t>
      </w:r>
      <w:r w:rsidR="00106C4A">
        <w:rPr>
          <w:rFonts w:ascii="Lato" w:hAnsi="Lato" w:cs="Arial"/>
          <w:bCs/>
          <w:sz w:val="24"/>
          <w:lang w:val="en-US"/>
        </w:rPr>
        <w:t xml:space="preserve">n the event </w:t>
      </w:r>
      <w:r>
        <w:rPr>
          <w:rFonts w:ascii="Lato" w:hAnsi="Lato" w:cs="Arial"/>
          <w:bCs/>
          <w:sz w:val="24"/>
          <w:lang w:val="en-US"/>
        </w:rPr>
        <w:t xml:space="preserve">of a suspected data breach, </w:t>
      </w:r>
      <w:r w:rsidR="003F29F1">
        <w:rPr>
          <w:rFonts w:ascii="Lato" w:hAnsi="Lato" w:cs="Arial"/>
          <w:bCs/>
          <w:sz w:val="24"/>
          <w:lang w:val="en-US"/>
        </w:rPr>
        <w:t xml:space="preserve">QECNT will meet </w:t>
      </w:r>
      <w:r w:rsidR="00FC167C">
        <w:rPr>
          <w:rFonts w:ascii="Lato" w:hAnsi="Lato" w:cs="Arial"/>
          <w:bCs/>
          <w:sz w:val="24"/>
          <w:lang w:val="en-US"/>
        </w:rPr>
        <w:t xml:space="preserve">its </w:t>
      </w:r>
      <w:r w:rsidR="003F29F1">
        <w:rPr>
          <w:rFonts w:ascii="Lato" w:hAnsi="Lato" w:cs="Arial"/>
          <w:bCs/>
          <w:sz w:val="24"/>
          <w:lang w:val="en-US"/>
        </w:rPr>
        <w:t xml:space="preserve">obligations under the </w:t>
      </w:r>
      <w:r w:rsidR="003F29F1" w:rsidRPr="00106C4A">
        <w:rPr>
          <w:rFonts w:ascii="Lato" w:hAnsi="Lato" w:cs="Arial"/>
          <w:bCs/>
          <w:i/>
          <w:sz w:val="24"/>
          <w:lang w:val="en-US"/>
        </w:rPr>
        <w:t>Privacy Amendment (Notifiable Data Breaches) Act 2017</w:t>
      </w:r>
      <w:r w:rsidR="003F29F1">
        <w:rPr>
          <w:rFonts w:ascii="Lato" w:hAnsi="Lato" w:cs="Arial"/>
          <w:bCs/>
          <w:sz w:val="24"/>
          <w:lang w:val="en-US"/>
        </w:rPr>
        <w:t>. T</w:t>
      </w:r>
      <w:r>
        <w:rPr>
          <w:rFonts w:ascii="Lato" w:hAnsi="Lato" w:cs="Arial"/>
          <w:bCs/>
          <w:sz w:val="24"/>
          <w:lang w:val="en-US"/>
        </w:rPr>
        <w:t>he matter will be investigated to determine</w:t>
      </w:r>
      <w:r w:rsidR="00404EEB">
        <w:rPr>
          <w:rFonts w:ascii="Lato" w:hAnsi="Lato" w:cs="Arial"/>
          <w:bCs/>
          <w:sz w:val="24"/>
          <w:lang w:val="en-US"/>
        </w:rPr>
        <w:t>:</w:t>
      </w:r>
    </w:p>
    <w:p w14:paraId="41C56585" w14:textId="77777777" w:rsidR="00404EEB" w:rsidRDefault="00404EEB" w:rsidP="005F4443">
      <w:pPr>
        <w:pStyle w:val="ListParagraph"/>
        <w:numPr>
          <w:ilvl w:val="0"/>
          <w:numId w:val="76"/>
        </w:numPr>
        <w:ind w:left="850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the nature of the breach</w:t>
      </w:r>
    </w:p>
    <w:p w14:paraId="4CD476D5" w14:textId="0841588E" w:rsidR="00404EEB" w:rsidRDefault="00404EEB" w:rsidP="005F4443">
      <w:pPr>
        <w:pStyle w:val="ListParagraph"/>
        <w:numPr>
          <w:ilvl w:val="0"/>
          <w:numId w:val="76"/>
        </w:numPr>
        <w:ind w:left="850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the number of people </w:t>
      </w:r>
      <w:r w:rsidR="005F4443">
        <w:rPr>
          <w:rFonts w:ascii="Lato" w:hAnsi="Lato" w:cs="Arial"/>
          <w:bCs/>
          <w:sz w:val="24"/>
          <w:lang w:val="en-US"/>
        </w:rPr>
        <w:t>affected</w:t>
      </w:r>
    </w:p>
    <w:p w14:paraId="0DDFA937" w14:textId="77777777" w:rsidR="00404EEB" w:rsidRDefault="00404EEB" w:rsidP="005F4443">
      <w:pPr>
        <w:pStyle w:val="ListParagraph"/>
        <w:numPr>
          <w:ilvl w:val="0"/>
          <w:numId w:val="76"/>
        </w:numPr>
        <w:ind w:left="850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the extent to which an individual or group may</w:t>
      </w:r>
      <w:r w:rsidR="00AD6B3F">
        <w:rPr>
          <w:rFonts w:ascii="Lato" w:hAnsi="Lato" w:cs="Arial"/>
          <w:bCs/>
          <w:sz w:val="24"/>
          <w:lang w:val="en-US"/>
        </w:rPr>
        <w:t xml:space="preserve"> be,</w:t>
      </w:r>
      <w:r>
        <w:rPr>
          <w:rFonts w:ascii="Lato" w:hAnsi="Lato" w:cs="Arial"/>
          <w:bCs/>
          <w:sz w:val="24"/>
          <w:lang w:val="en-US"/>
        </w:rPr>
        <w:t xml:space="preserve"> </w:t>
      </w:r>
      <w:r w:rsidR="00AD6B3F">
        <w:rPr>
          <w:rFonts w:ascii="Lato" w:hAnsi="Lato" w:cs="Arial"/>
          <w:bCs/>
          <w:sz w:val="24"/>
          <w:lang w:val="en-US"/>
        </w:rPr>
        <w:t>or have been,</w:t>
      </w:r>
      <w:r>
        <w:rPr>
          <w:rFonts w:ascii="Lato" w:hAnsi="Lato" w:cs="Arial"/>
          <w:bCs/>
          <w:sz w:val="24"/>
          <w:lang w:val="en-US"/>
        </w:rPr>
        <w:t xml:space="preserve"> harmed by the breach</w:t>
      </w:r>
    </w:p>
    <w:p w14:paraId="586B62AB" w14:textId="4DEEECC4" w:rsidR="00404EEB" w:rsidRDefault="00404EEB" w:rsidP="005F4443">
      <w:pPr>
        <w:pStyle w:val="ListParagraph"/>
        <w:numPr>
          <w:ilvl w:val="0"/>
          <w:numId w:val="76"/>
        </w:numPr>
        <w:ind w:left="850" w:hanging="357"/>
        <w:contextualSpacing w:val="0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remedial action to minimise or prevent </w:t>
      </w:r>
      <w:r w:rsidR="005F4443">
        <w:rPr>
          <w:rFonts w:ascii="Lato" w:hAnsi="Lato" w:cs="Arial"/>
          <w:bCs/>
          <w:sz w:val="24"/>
          <w:lang w:val="en-US"/>
        </w:rPr>
        <w:t>consequences</w:t>
      </w:r>
      <w:r w:rsidR="00D67C24">
        <w:rPr>
          <w:rFonts w:ascii="Lato" w:hAnsi="Lato" w:cs="Arial"/>
          <w:bCs/>
          <w:sz w:val="24"/>
          <w:lang w:val="en-US"/>
        </w:rPr>
        <w:t>.</w:t>
      </w:r>
    </w:p>
    <w:p w14:paraId="2AB52319" w14:textId="77777777" w:rsidR="00AF133F" w:rsidRDefault="00AF133F" w:rsidP="005D4FAB">
      <w:pPr>
        <w:ind w:left="426"/>
        <w:rPr>
          <w:rFonts w:ascii="Lato" w:hAnsi="Lato" w:cs="Arial"/>
          <w:bCs/>
          <w:sz w:val="24"/>
          <w:lang w:val="en-US"/>
        </w:rPr>
      </w:pPr>
    </w:p>
    <w:p w14:paraId="02103BEB" w14:textId="57F53779" w:rsidR="00106C4A" w:rsidRDefault="0081756E" w:rsidP="005D4FAB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If it is determined that</w:t>
      </w:r>
      <w:r w:rsidR="00106C4A">
        <w:rPr>
          <w:rFonts w:ascii="Lato" w:hAnsi="Lato" w:cs="Arial"/>
          <w:bCs/>
          <w:sz w:val="24"/>
          <w:lang w:val="en-US"/>
        </w:rPr>
        <w:t xml:space="preserve"> </w:t>
      </w:r>
      <w:r w:rsidR="005F4443">
        <w:rPr>
          <w:rFonts w:ascii="Lato" w:hAnsi="Lato" w:cs="Arial"/>
          <w:bCs/>
          <w:sz w:val="24"/>
          <w:lang w:val="en-US"/>
        </w:rPr>
        <w:t xml:space="preserve">a </w:t>
      </w:r>
      <w:r w:rsidR="00106C4A">
        <w:rPr>
          <w:rFonts w:ascii="Lato" w:hAnsi="Lato" w:cs="Arial"/>
          <w:bCs/>
          <w:sz w:val="24"/>
          <w:lang w:val="en-US"/>
        </w:rPr>
        <w:t xml:space="preserve">data breach is likely to result in serious harm, QECNT will notify the individuals whose personal information </w:t>
      </w:r>
      <w:r w:rsidR="00412ED5">
        <w:rPr>
          <w:rFonts w:ascii="Lato" w:hAnsi="Lato" w:cs="Arial"/>
          <w:bCs/>
          <w:sz w:val="24"/>
          <w:lang w:val="en-US"/>
        </w:rPr>
        <w:t>has been breached</w:t>
      </w:r>
      <w:r w:rsidR="00106C4A">
        <w:rPr>
          <w:rFonts w:ascii="Lato" w:hAnsi="Lato" w:cs="Arial"/>
          <w:bCs/>
          <w:sz w:val="24"/>
          <w:lang w:val="en-US"/>
        </w:rPr>
        <w:t xml:space="preserve"> and the National Education and Care Services Privacy Commissioner.</w:t>
      </w:r>
    </w:p>
    <w:p w14:paraId="43D764F0" w14:textId="77777777" w:rsidR="00D67C24" w:rsidRDefault="00D67C24" w:rsidP="005D4FAB">
      <w:pPr>
        <w:ind w:left="426"/>
        <w:rPr>
          <w:rFonts w:ascii="Lato" w:hAnsi="Lato" w:cs="Arial"/>
          <w:bCs/>
          <w:sz w:val="24"/>
          <w:lang w:val="en-US"/>
        </w:rPr>
      </w:pPr>
    </w:p>
    <w:p w14:paraId="3948185E" w14:textId="1CBFD8B5" w:rsidR="00D67C24" w:rsidRDefault="00D67C24" w:rsidP="00D67C24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QECNT will also investigate the cause of any breach and implement actions that will</w:t>
      </w:r>
      <w:r w:rsidRPr="00D67C24">
        <w:rPr>
          <w:rFonts w:ascii="Lato" w:hAnsi="Lato" w:cs="Arial"/>
          <w:bCs/>
          <w:sz w:val="24"/>
          <w:lang w:val="en-US"/>
        </w:rPr>
        <w:t xml:space="preserve"> prevent any future </w:t>
      </w:r>
      <w:r w:rsidR="00412ED5">
        <w:rPr>
          <w:rFonts w:ascii="Lato" w:hAnsi="Lato" w:cs="Arial"/>
          <w:bCs/>
          <w:sz w:val="24"/>
          <w:lang w:val="en-US"/>
        </w:rPr>
        <w:t>occurrences</w:t>
      </w:r>
      <w:r w:rsidRPr="00D67C24">
        <w:rPr>
          <w:rFonts w:ascii="Lato" w:hAnsi="Lato" w:cs="Arial"/>
          <w:bCs/>
          <w:sz w:val="24"/>
          <w:lang w:val="en-US"/>
        </w:rPr>
        <w:t>.</w:t>
      </w:r>
    </w:p>
    <w:p w14:paraId="1DDB9C14" w14:textId="77777777" w:rsidR="00353B0F" w:rsidRDefault="00353B0F" w:rsidP="005D4FAB">
      <w:pPr>
        <w:ind w:left="426"/>
        <w:rPr>
          <w:rFonts w:ascii="Lato" w:hAnsi="Lato" w:cs="Arial"/>
          <w:bCs/>
          <w:sz w:val="24"/>
          <w:lang w:val="en-US"/>
        </w:rPr>
      </w:pPr>
    </w:p>
    <w:p w14:paraId="0CFF5B26" w14:textId="77777777" w:rsidR="00353B0F" w:rsidRDefault="00EB3D38" w:rsidP="007A6091">
      <w:pPr>
        <w:ind w:left="425" w:hanging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/>
          <w:bCs/>
          <w:sz w:val="24"/>
          <w:lang w:val="en-US"/>
        </w:rPr>
        <w:t>3</w:t>
      </w:r>
      <w:r w:rsidR="00353B0F">
        <w:rPr>
          <w:rFonts w:ascii="Lato" w:hAnsi="Lato" w:cs="Arial"/>
          <w:b/>
          <w:bCs/>
          <w:sz w:val="24"/>
          <w:lang w:val="en-US"/>
        </w:rPr>
        <w:t>.</w:t>
      </w:r>
      <w:r w:rsidR="00AF133F">
        <w:rPr>
          <w:rFonts w:ascii="Lato" w:hAnsi="Lato" w:cs="Arial"/>
          <w:b/>
          <w:bCs/>
          <w:sz w:val="24"/>
          <w:lang w:val="en-US"/>
        </w:rPr>
        <w:t>6</w:t>
      </w:r>
      <w:r w:rsidR="00353B0F">
        <w:rPr>
          <w:rFonts w:ascii="Lato" w:hAnsi="Lato" w:cs="Arial"/>
          <w:b/>
          <w:bCs/>
          <w:sz w:val="24"/>
          <w:lang w:val="en-US"/>
        </w:rPr>
        <w:tab/>
        <w:t>Access and correction</w:t>
      </w:r>
    </w:p>
    <w:p w14:paraId="3B5876E7" w14:textId="0E384B6D" w:rsidR="003828D5" w:rsidRDefault="00E31D98" w:rsidP="007A6091">
      <w:pPr>
        <w:ind w:left="425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If an individual requests </w:t>
      </w:r>
      <w:r w:rsidR="003562E6">
        <w:rPr>
          <w:rFonts w:ascii="Lato" w:hAnsi="Lato" w:cs="Arial"/>
          <w:bCs/>
          <w:sz w:val="24"/>
          <w:lang w:val="en-US"/>
        </w:rPr>
        <w:t xml:space="preserve">to </w:t>
      </w:r>
      <w:r w:rsidR="00B73A7F">
        <w:rPr>
          <w:rFonts w:ascii="Lato" w:hAnsi="Lato" w:cs="Arial"/>
          <w:bCs/>
          <w:sz w:val="24"/>
          <w:lang w:val="en-US"/>
        </w:rPr>
        <w:t>either access or amend their</w:t>
      </w:r>
      <w:r>
        <w:rPr>
          <w:rFonts w:ascii="Lato" w:hAnsi="Lato" w:cs="Arial"/>
          <w:bCs/>
          <w:sz w:val="24"/>
          <w:lang w:val="en-US"/>
        </w:rPr>
        <w:t xml:space="preserve"> personal information, QECNT will </w:t>
      </w:r>
      <w:r w:rsidR="00B73A7F">
        <w:rPr>
          <w:rFonts w:ascii="Lato" w:hAnsi="Lato" w:cs="Arial"/>
          <w:bCs/>
          <w:sz w:val="24"/>
          <w:lang w:val="en-US"/>
        </w:rPr>
        <w:t>facilitate this</w:t>
      </w:r>
      <w:r>
        <w:rPr>
          <w:rFonts w:ascii="Lato" w:hAnsi="Lato" w:cs="Arial"/>
          <w:bCs/>
          <w:sz w:val="24"/>
          <w:lang w:val="en-US"/>
        </w:rPr>
        <w:t xml:space="preserve"> </w:t>
      </w:r>
      <w:r w:rsidR="003828D5">
        <w:rPr>
          <w:rFonts w:ascii="Lato" w:hAnsi="Lato" w:cs="Arial"/>
          <w:bCs/>
          <w:sz w:val="24"/>
          <w:lang w:val="en-US"/>
        </w:rPr>
        <w:t>in a</w:t>
      </w:r>
      <w:r w:rsidR="0002357A">
        <w:rPr>
          <w:rFonts w:ascii="Lato" w:hAnsi="Lato" w:cs="Arial"/>
          <w:bCs/>
          <w:sz w:val="24"/>
          <w:lang w:val="en-US"/>
        </w:rPr>
        <w:t>n efficient and</w:t>
      </w:r>
      <w:r w:rsidR="003828D5">
        <w:rPr>
          <w:rFonts w:ascii="Lato" w:hAnsi="Lato" w:cs="Arial"/>
          <w:bCs/>
          <w:sz w:val="24"/>
          <w:lang w:val="en-US"/>
        </w:rPr>
        <w:t xml:space="preserve"> timely manner</w:t>
      </w:r>
      <w:r w:rsidR="007A6091">
        <w:rPr>
          <w:rFonts w:ascii="Lato" w:hAnsi="Lato" w:cs="Arial"/>
          <w:bCs/>
          <w:sz w:val="24"/>
          <w:lang w:val="en-US"/>
        </w:rPr>
        <w:t>. QECNT will ensure that:</w:t>
      </w:r>
    </w:p>
    <w:p w14:paraId="4BD65B4D" w14:textId="77777777" w:rsidR="0002357A" w:rsidRPr="00EA6A1A" w:rsidRDefault="0002357A" w:rsidP="0002357A">
      <w:pPr>
        <w:pStyle w:val="ListParagraph"/>
        <w:numPr>
          <w:ilvl w:val="0"/>
          <w:numId w:val="79"/>
        </w:numPr>
        <w:ind w:left="851"/>
        <w:contextualSpacing w:val="0"/>
        <w:rPr>
          <w:rFonts w:ascii="Lato" w:hAnsi="Lato" w:cs="Arial"/>
          <w:sz w:val="24"/>
          <w:lang w:val="en-US"/>
        </w:rPr>
      </w:pPr>
      <w:r w:rsidRPr="00EA6A1A">
        <w:rPr>
          <w:rFonts w:ascii="Lato" w:hAnsi="Lato" w:cs="Arial"/>
          <w:sz w:val="24"/>
          <w:lang w:val="en-US"/>
        </w:rPr>
        <w:t xml:space="preserve">acknowledgement of the receipt of the </w:t>
      </w:r>
      <w:r>
        <w:rPr>
          <w:rFonts w:ascii="Lato" w:hAnsi="Lato" w:cs="Arial"/>
          <w:sz w:val="24"/>
          <w:lang w:val="en-US"/>
        </w:rPr>
        <w:t>request</w:t>
      </w:r>
      <w:r w:rsidRPr="00EA6A1A">
        <w:rPr>
          <w:rFonts w:ascii="Lato" w:hAnsi="Lato" w:cs="Arial"/>
          <w:sz w:val="24"/>
          <w:lang w:val="en-US"/>
        </w:rPr>
        <w:t xml:space="preserve"> is provided to the </w:t>
      </w:r>
      <w:r>
        <w:rPr>
          <w:rFonts w:ascii="Lato" w:hAnsi="Lato" w:cs="Arial"/>
          <w:sz w:val="24"/>
          <w:lang w:val="en-US"/>
        </w:rPr>
        <w:t>individual</w:t>
      </w:r>
      <w:r w:rsidRPr="00EA6A1A">
        <w:rPr>
          <w:rFonts w:ascii="Lato" w:hAnsi="Lato" w:cs="Arial"/>
          <w:sz w:val="24"/>
          <w:lang w:val="en-US"/>
        </w:rPr>
        <w:t xml:space="preserve"> within five working days</w:t>
      </w:r>
    </w:p>
    <w:p w14:paraId="79797B93" w14:textId="77777777" w:rsidR="0002357A" w:rsidRPr="00EA6A1A" w:rsidRDefault="0002357A" w:rsidP="0002357A">
      <w:pPr>
        <w:pStyle w:val="ListParagraph"/>
        <w:numPr>
          <w:ilvl w:val="0"/>
          <w:numId w:val="79"/>
        </w:numPr>
        <w:ind w:left="851"/>
        <w:contextualSpacing w:val="0"/>
        <w:rPr>
          <w:rFonts w:ascii="Lato" w:hAnsi="Lato" w:cs="Arial"/>
          <w:bCs/>
          <w:sz w:val="24"/>
          <w:lang w:val="en-US"/>
        </w:rPr>
      </w:pPr>
      <w:r w:rsidRPr="00EA6A1A">
        <w:rPr>
          <w:rFonts w:ascii="Lato" w:hAnsi="Lato" w:cs="Arial"/>
          <w:bCs/>
          <w:sz w:val="24"/>
          <w:lang w:val="en-US"/>
        </w:rPr>
        <w:t xml:space="preserve">key timeframes for </w:t>
      </w:r>
      <w:r w:rsidR="00A76411">
        <w:rPr>
          <w:rFonts w:ascii="Lato" w:hAnsi="Lato" w:cs="Arial"/>
          <w:bCs/>
          <w:sz w:val="24"/>
          <w:lang w:val="en-US"/>
        </w:rPr>
        <w:t xml:space="preserve">processing the </w:t>
      </w:r>
      <w:r>
        <w:rPr>
          <w:rFonts w:ascii="Lato" w:hAnsi="Lato" w:cs="Arial"/>
          <w:bCs/>
          <w:sz w:val="24"/>
          <w:lang w:val="en-US"/>
        </w:rPr>
        <w:t xml:space="preserve">request </w:t>
      </w:r>
      <w:r w:rsidRPr="00EA6A1A">
        <w:rPr>
          <w:rFonts w:ascii="Lato" w:hAnsi="Lato" w:cs="Arial"/>
          <w:bCs/>
          <w:sz w:val="24"/>
          <w:lang w:val="en-US"/>
        </w:rPr>
        <w:t xml:space="preserve">are established and communicated clearly to the </w:t>
      </w:r>
      <w:r>
        <w:rPr>
          <w:rFonts w:ascii="Lato" w:hAnsi="Lato" w:cs="Arial"/>
          <w:bCs/>
          <w:sz w:val="24"/>
          <w:lang w:val="en-US"/>
        </w:rPr>
        <w:t>individual</w:t>
      </w:r>
    </w:p>
    <w:p w14:paraId="4486B81A" w14:textId="20B2454E" w:rsidR="0002357A" w:rsidRPr="00EA6A1A" w:rsidRDefault="0002357A" w:rsidP="0002357A">
      <w:pPr>
        <w:pStyle w:val="ListParagraph"/>
        <w:numPr>
          <w:ilvl w:val="0"/>
          <w:numId w:val="79"/>
        </w:numPr>
        <w:ind w:left="851"/>
        <w:contextualSpacing w:val="0"/>
        <w:rPr>
          <w:rFonts w:ascii="Lato" w:hAnsi="Lato" w:cs="Arial"/>
          <w:bCs/>
          <w:sz w:val="24"/>
          <w:lang w:val="en-US"/>
        </w:rPr>
      </w:pPr>
      <w:r w:rsidRPr="00EA6A1A">
        <w:rPr>
          <w:rFonts w:ascii="Lato" w:hAnsi="Lato" w:cs="Arial"/>
          <w:bCs/>
          <w:sz w:val="24"/>
          <w:lang w:val="en-US"/>
        </w:rPr>
        <w:t xml:space="preserve">adequate communication </w:t>
      </w:r>
      <w:r w:rsidR="003562E6">
        <w:rPr>
          <w:rFonts w:ascii="Lato" w:hAnsi="Lato" w:cs="Arial"/>
          <w:bCs/>
          <w:sz w:val="24"/>
          <w:lang w:val="en-US"/>
        </w:rPr>
        <w:t>about</w:t>
      </w:r>
      <w:r w:rsidR="003562E6" w:rsidRPr="00EA6A1A">
        <w:rPr>
          <w:rFonts w:ascii="Lato" w:hAnsi="Lato" w:cs="Arial"/>
          <w:bCs/>
          <w:sz w:val="24"/>
          <w:lang w:val="en-US"/>
        </w:rPr>
        <w:t xml:space="preserve"> </w:t>
      </w:r>
      <w:r w:rsidRPr="00EA6A1A">
        <w:rPr>
          <w:rFonts w:ascii="Lato" w:hAnsi="Lato" w:cs="Arial"/>
          <w:bCs/>
          <w:sz w:val="24"/>
          <w:lang w:val="en-US"/>
        </w:rPr>
        <w:t xml:space="preserve">the status of </w:t>
      </w:r>
      <w:r>
        <w:rPr>
          <w:rFonts w:ascii="Lato" w:hAnsi="Lato" w:cs="Arial"/>
          <w:bCs/>
          <w:sz w:val="24"/>
          <w:lang w:val="en-US"/>
        </w:rPr>
        <w:t xml:space="preserve">more complex requests is maintained </w:t>
      </w:r>
      <w:r w:rsidR="00A76411">
        <w:rPr>
          <w:rFonts w:ascii="Lato" w:hAnsi="Lato" w:cs="Arial"/>
          <w:bCs/>
          <w:sz w:val="24"/>
          <w:lang w:val="en-US"/>
        </w:rPr>
        <w:t>with the individual</w:t>
      </w:r>
      <w:r w:rsidRPr="00EA6A1A">
        <w:rPr>
          <w:rFonts w:ascii="Lato" w:hAnsi="Lato" w:cs="Arial"/>
          <w:bCs/>
          <w:sz w:val="24"/>
          <w:lang w:val="en-US"/>
        </w:rPr>
        <w:t>.</w:t>
      </w:r>
    </w:p>
    <w:p w14:paraId="7F51A777" w14:textId="77777777" w:rsidR="003828D5" w:rsidRDefault="003828D5" w:rsidP="005D4FAB">
      <w:pPr>
        <w:ind w:left="426"/>
        <w:rPr>
          <w:rFonts w:ascii="Lato" w:hAnsi="Lato" w:cs="Arial"/>
          <w:bCs/>
          <w:sz w:val="24"/>
          <w:lang w:val="en-US"/>
        </w:rPr>
      </w:pPr>
    </w:p>
    <w:p w14:paraId="7A928141" w14:textId="05A35AA5" w:rsidR="003A553C" w:rsidRDefault="0002357A" w:rsidP="00E31D98">
      <w:pPr>
        <w:ind w:left="426"/>
        <w:rPr>
          <w:rFonts w:ascii="Lato" w:hAnsi="Lato"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In certain circumstances QECNT may</w:t>
      </w:r>
      <w:r w:rsidR="00B73A7F">
        <w:rPr>
          <w:rFonts w:ascii="Lato" w:hAnsi="Lato" w:cs="Arial"/>
          <w:bCs/>
          <w:sz w:val="24"/>
          <w:lang w:val="en-US"/>
        </w:rPr>
        <w:t xml:space="preserve"> withhold information </w:t>
      </w:r>
      <w:r w:rsidR="00E31D98">
        <w:rPr>
          <w:rFonts w:ascii="Lato" w:hAnsi="Lato" w:cs="Arial"/>
          <w:bCs/>
          <w:sz w:val="24"/>
          <w:lang w:val="en-US"/>
        </w:rPr>
        <w:t xml:space="preserve">under the </w:t>
      </w:r>
      <w:r w:rsidR="00E31D98" w:rsidRPr="00BB5840">
        <w:rPr>
          <w:rFonts w:ascii="Lato" w:hAnsi="Lato" w:cs="Arial"/>
          <w:bCs/>
          <w:sz w:val="24"/>
          <w:lang w:val="en-US"/>
        </w:rPr>
        <w:t>Privacy Act</w:t>
      </w:r>
      <w:r w:rsidR="00E31D98" w:rsidRPr="00E31D98">
        <w:rPr>
          <w:rFonts w:ascii="Lato" w:hAnsi="Lato" w:cs="Arial"/>
          <w:bCs/>
          <w:i/>
          <w:sz w:val="24"/>
          <w:lang w:val="en-US"/>
        </w:rPr>
        <w:t>, Freedom of Information Act 1982</w:t>
      </w:r>
      <w:r w:rsidR="00E31D98">
        <w:rPr>
          <w:rFonts w:ascii="Lato" w:hAnsi="Lato" w:cs="Arial"/>
          <w:bCs/>
          <w:sz w:val="24"/>
          <w:lang w:val="en-US"/>
        </w:rPr>
        <w:t xml:space="preserve"> or other relevant law.</w:t>
      </w:r>
      <w:r>
        <w:rPr>
          <w:rFonts w:ascii="Lato" w:hAnsi="Lato" w:cs="Arial"/>
          <w:bCs/>
          <w:sz w:val="24"/>
          <w:lang w:val="en-US"/>
        </w:rPr>
        <w:t xml:space="preserve"> </w:t>
      </w:r>
      <w:r w:rsidR="00837F9E">
        <w:rPr>
          <w:rFonts w:ascii="Lato" w:hAnsi="Lato"/>
          <w:sz w:val="24"/>
          <w:lang w:val="en-US"/>
        </w:rPr>
        <w:t xml:space="preserve">If QECNT does not agree to provide access </w:t>
      </w:r>
      <w:r w:rsidR="006016D8">
        <w:rPr>
          <w:rFonts w:ascii="Lato" w:hAnsi="Lato"/>
          <w:sz w:val="24"/>
          <w:lang w:val="en-US"/>
        </w:rPr>
        <w:t>to personal information</w:t>
      </w:r>
      <w:r w:rsidR="00A76411">
        <w:rPr>
          <w:rFonts w:ascii="Lato" w:hAnsi="Lato"/>
          <w:sz w:val="24"/>
          <w:lang w:val="en-US"/>
        </w:rPr>
        <w:t>,</w:t>
      </w:r>
      <w:r w:rsidR="006D0B21">
        <w:rPr>
          <w:rFonts w:ascii="Lato" w:hAnsi="Lato"/>
          <w:sz w:val="24"/>
          <w:lang w:val="en-US"/>
        </w:rPr>
        <w:t xml:space="preserve"> the individual </w:t>
      </w:r>
      <w:r>
        <w:rPr>
          <w:rFonts w:ascii="Lato" w:hAnsi="Lato"/>
          <w:sz w:val="24"/>
          <w:lang w:val="en-US"/>
        </w:rPr>
        <w:t xml:space="preserve">may </w:t>
      </w:r>
      <w:r w:rsidR="006D0B21">
        <w:rPr>
          <w:rFonts w:ascii="Lato" w:hAnsi="Lato"/>
          <w:sz w:val="24"/>
          <w:lang w:val="en-US"/>
        </w:rPr>
        <w:t xml:space="preserve">seek a review of the decision or </w:t>
      </w:r>
      <w:r w:rsidR="005D6ED1">
        <w:rPr>
          <w:rFonts w:ascii="Lato" w:hAnsi="Lato"/>
          <w:sz w:val="24"/>
          <w:lang w:val="en-US"/>
        </w:rPr>
        <w:t xml:space="preserve">an </w:t>
      </w:r>
      <w:r w:rsidR="006D0B21">
        <w:rPr>
          <w:rFonts w:ascii="Lato" w:hAnsi="Lato"/>
          <w:sz w:val="24"/>
          <w:lang w:val="en-US"/>
        </w:rPr>
        <w:t xml:space="preserve">appeal under the </w:t>
      </w:r>
      <w:r w:rsidR="006D0B21" w:rsidRPr="006D0B21">
        <w:rPr>
          <w:rFonts w:ascii="Lato" w:hAnsi="Lato"/>
          <w:i/>
          <w:sz w:val="24"/>
          <w:lang w:val="en-US"/>
        </w:rPr>
        <w:t>Freedom of Information Act</w:t>
      </w:r>
      <w:r w:rsidR="003562E6">
        <w:rPr>
          <w:rFonts w:ascii="Lato" w:hAnsi="Lato"/>
          <w:i/>
          <w:sz w:val="24"/>
          <w:lang w:val="en-US"/>
        </w:rPr>
        <w:t xml:space="preserve"> 1982</w:t>
      </w:r>
      <w:r w:rsidR="006D0B21">
        <w:rPr>
          <w:rFonts w:ascii="Lato" w:hAnsi="Lato"/>
          <w:sz w:val="24"/>
          <w:lang w:val="en-US"/>
        </w:rPr>
        <w:t>.</w:t>
      </w:r>
      <w:r w:rsidR="006016D8">
        <w:rPr>
          <w:rFonts w:ascii="Lato" w:hAnsi="Lato"/>
          <w:sz w:val="24"/>
          <w:lang w:val="en-US"/>
        </w:rPr>
        <w:t xml:space="preserve"> </w:t>
      </w:r>
      <w:r w:rsidR="00A76411">
        <w:rPr>
          <w:rFonts w:ascii="Lato" w:hAnsi="Lato"/>
          <w:sz w:val="24"/>
          <w:lang w:val="en-US"/>
        </w:rPr>
        <w:t>F</w:t>
      </w:r>
      <w:r w:rsidR="00643E39">
        <w:rPr>
          <w:rFonts w:ascii="Lato" w:hAnsi="Lato"/>
          <w:sz w:val="24"/>
          <w:lang w:val="en-US"/>
        </w:rPr>
        <w:t xml:space="preserve">urther information regarding </w:t>
      </w:r>
      <w:r w:rsidR="00FA2AAE">
        <w:rPr>
          <w:rFonts w:ascii="Lato" w:hAnsi="Lato"/>
          <w:sz w:val="24"/>
          <w:lang w:val="en-US"/>
        </w:rPr>
        <w:t>f</w:t>
      </w:r>
      <w:r w:rsidR="00E93B7A">
        <w:rPr>
          <w:rFonts w:ascii="Lato" w:hAnsi="Lato"/>
          <w:sz w:val="24"/>
          <w:lang w:val="en-US"/>
        </w:rPr>
        <w:t xml:space="preserve">reedom of </w:t>
      </w:r>
      <w:r w:rsidR="00FA2AAE">
        <w:rPr>
          <w:rFonts w:ascii="Lato" w:hAnsi="Lato"/>
          <w:sz w:val="24"/>
          <w:lang w:val="en-US"/>
        </w:rPr>
        <w:t>i</w:t>
      </w:r>
      <w:r w:rsidR="00E93B7A">
        <w:rPr>
          <w:rFonts w:ascii="Lato" w:hAnsi="Lato"/>
          <w:sz w:val="24"/>
          <w:lang w:val="en-US"/>
        </w:rPr>
        <w:t xml:space="preserve">nformation </w:t>
      </w:r>
      <w:r w:rsidR="00A76411">
        <w:rPr>
          <w:rFonts w:ascii="Lato" w:hAnsi="Lato"/>
          <w:sz w:val="24"/>
          <w:lang w:val="en-US"/>
        </w:rPr>
        <w:t>may be requested from</w:t>
      </w:r>
      <w:r w:rsidR="00FA2AAE">
        <w:rPr>
          <w:rFonts w:ascii="Lato" w:hAnsi="Lato"/>
          <w:sz w:val="24"/>
          <w:lang w:val="en-US"/>
        </w:rPr>
        <w:t xml:space="preserve"> the Freedom of Information and Privacy Officer</w:t>
      </w:r>
      <w:r w:rsidR="00F72E71">
        <w:rPr>
          <w:rFonts w:ascii="Lato" w:hAnsi="Lato"/>
          <w:sz w:val="24"/>
          <w:lang w:val="en-US"/>
        </w:rPr>
        <w:t xml:space="preserve"> as follows</w:t>
      </w:r>
      <w:r w:rsidR="00FA2AAE">
        <w:rPr>
          <w:rFonts w:ascii="Lato" w:hAnsi="Lato"/>
          <w:sz w:val="24"/>
          <w:lang w:val="en-US"/>
        </w:rPr>
        <w:t>:</w:t>
      </w:r>
    </w:p>
    <w:p w14:paraId="617592B9" w14:textId="77777777" w:rsidR="00FA2AAE" w:rsidRDefault="00FA2AAE" w:rsidP="00E93B7A">
      <w:pPr>
        <w:ind w:left="426"/>
        <w:rPr>
          <w:rFonts w:cs="Arial"/>
          <w:color w:val="000000"/>
          <w:szCs w:val="20"/>
          <w:highlight w:val="yellow"/>
          <w:lang w:val="en-US"/>
        </w:rPr>
      </w:pPr>
    </w:p>
    <w:p w14:paraId="768AA3A3" w14:textId="77777777" w:rsidR="00FA2AAE" w:rsidRDefault="00FA2AAE" w:rsidP="003562E6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By email: </w:t>
      </w:r>
      <w:r>
        <w:rPr>
          <w:rFonts w:ascii="Lato" w:hAnsi="Lato" w:cs="Arial"/>
          <w:bCs/>
          <w:sz w:val="24"/>
          <w:szCs w:val="28"/>
          <w:lang w:val="en-US"/>
        </w:rPr>
        <w:tab/>
      </w:r>
      <w:hyperlink r:id="rId11" w:history="1">
        <w:r w:rsidRPr="008F29D7">
          <w:rPr>
            <w:rStyle w:val="Hyperlink"/>
            <w:rFonts w:ascii="Lato" w:hAnsi="Lato" w:cs="Arial"/>
            <w:bCs/>
            <w:sz w:val="24"/>
            <w:szCs w:val="28"/>
            <w:lang w:val="en-US"/>
          </w:rPr>
          <w:t>detfoi.det@nt.gov.au</w:t>
        </w:r>
      </w:hyperlink>
    </w:p>
    <w:p w14:paraId="3FB49BA7" w14:textId="77777777" w:rsidR="00FA2AAE" w:rsidRDefault="00FA2AAE" w:rsidP="003562E6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</w:p>
    <w:p w14:paraId="204F436B" w14:textId="5966FB30" w:rsidR="00412ED5" w:rsidRDefault="00FA2AAE" w:rsidP="003562E6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By </w:t>
      </w:r>
      <w:r w:rsidR="001C23C9">
        <w:rPr>
          <w:rFonts w:ascii="Lato" w:hAnsi="Lato" w:cs="Arial"/>
          <w:bCs/>
          <w:sz w:val="24"/>
          <w:szCs w:val="28"/>
          <w:lang w:val="en-US"/>
        </w:rPr>
        <w:t>mail</w:t>
      </w:r>
      <w:r>
        <w:rPr>
          <w:rFonts w:ascii="Lato" w:hAnsi="Lato" w:cs="Arial"/>
          <w:bCs/>
          <w:sz w:val="24"/>
          <w:szCs w:val="28"/>
          <w:lang w:val="en-US"/>
        </w:rPr>
        <w:t>:</w:t>
      </w:r>
      <w:r>
        <w:rPr>
          <w:rFonts w:ascii="Lato" w:hAnsi="Lato" w:cs="Arial"/>
          <w:bCs/>
          <w:sz w:val="24"/>
          <w:szCs w:val="28"/>
          <w:lang w:val="en-US"/>
        </w:rPr>
        <w:tab/>
      </w:r>
      <w:r>
        <w:rPr>
          <w:rFonts w:ascii="Lato" w:hAnsi="Lato"/>
          <w:sz w:val="24"/>
          <w:lang w:val="en-US"/>
        </w:rPr>
        <w:t>Freedom of Information and Privacy Officer</w:t>
      </w:r>
    </w:p>
    <w:p w14:paraId="14B8FE6C" w14:textId="77777777" w:rsidR="00FA2AAE" w:rsidRDefault="00FA2AAE" w:rsidP="003562E6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ab/>
        <w:t>GPO Box 4821</w:t>
      </w:r>
    </w:p>
    <w:p w14:paraId="180535C0" w14:textId="72EE0D61" w:rsidR="00FA2AAE" w:rsidRDefault="00FA2AAE" w:rsidP="003562E6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ab/>
        <w:t xml:space="preserve">DARWIN </w:t>
      </w:r>
      <w:r w:rsidR="00412ED5">
        <w:rPr>
          <w:rFonts w:ascii="Lato" w:hAnsi="Lato" w:cs="Arial"/>
          <w:bCs/>
          <w:sz w:val="24"/>
          <w:szCs w:val="28"/>
          <w:lang w:val="en-US"/>
        </w:rPr>
        <w:t xml:space="preserve"> </w:t>
      </w:r>
      <w:r>
        <w:rPr>
          <w:rFonts w:ascii="Lato" w:hAnsi="Lato" w:cs="Arial"/>
          <w:bCs/>
          <w:sz w:val="24"/>
          <w:szCs w:val="28"/>
          <w:lang w:val="en-US"/>
        </w:rPr>
        <w:t xml:space="preserve">NT </w:t>
      </w:r>
      <w:r w:rsidR="00412ED5">
        <w:rPr>
          <w:rFonts w:ascii="Lato" w:hAnsi="Lato" w:cs="Arial"/>
          <w:bCs/>
          <w:sz w:val="24"/>
          <w:szCs w:val="28"/>
          <w:lang w:val="en-US"/>
        </w:rPr>
        <w:t xml:space="preserve"> </w:t>
      </w:r>
      <w:r>
        <w:rPr>
          <w:rFonts w:ascii="Lato" w:hAnsi="Lato" w:cs="Arial"/>
          <w:bCs/>
          <w:sz w:val="24"/>
          <w:szCs w:val="28"/>
          <w:lang w:val="en-US"/>
        </w:rPr>
        <w:t>0801</w:t>
      </w:r>
    </w:p>
    <w:p w14:paraId="1AEBC94A" w14:textId="77777777" w:rsidR="00FA2AAE" w:rsidRDefault="00FA2AAE" w:rsidP="003562E6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</w:p>
    <w:p w14:paraId="6295DABF" w14:textId="1AA03AF0" w:rsidR="00FA2AAE" w:rsidRDefault="00FA2AAE" w:rsidP="003562E6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By </w:t>
      </w:r>
      <w:r w:rsidR="003562E6">
        <w:rPr>
          <w:rFonts w:ascii="Lato" w:hAnsi="Lato" w:cs="Arial"/>
          <w:bCs/>
          <w:sz w:val="24"/>
          <w:szCs w:val="28"/>
          <w:lang w:val="en-US"/>
        </w:rPr>
        <w:t>tele</w:t>
      </w:r>
      <w:r>
        <w:rPr>
          <w:rFonts w:ascii="Lato" w:hAnsi="Lato" w:cs="Arial"/>
          <w:bCs/>
          <w:sz w:val="24"/>
          <w:szCs w:val="28"/>
          <w:lang w:val="en-US"/>
        </w:rPr>
        <w:t xml:space="preserve">phone: </w:t>
      </w:r>
      <w:r>
        <w:rPr>
          <w:rFonts w:ascii="Lato" w:hAnsi="Lato" w:cs="Arial"/>
          <w:bCs/>
          <w:sz w:val="24"/>
          <w:szCs w:val="28"/>
          <w:lang w:val="en-US"/>
        </w:rPr>
        <w:tab/>
        <w:t>(08) 8901 4907</w:t>
      </w:r>
    </w:p>
    <w:p w14:paraId="611322A2" w14:textId="77777777" w:rsidR="007A6091" w:rsidRDefault="007A6091" w:rsidP="00E31D98">
      <w:pPr>
        <w:ind w:left="426"/>
        <w:rPr>
          <w:rFonts w:ascii="Lato" w:hAnsi="Lato"/>
          <w:sz w:val="24"/>
          <w:lang w:val="en-US"/>
        </w:rPr>
      </w:pPr>
    </w:p>
    <w:p w14:paraId="29F5BA70" w14:textId="5EBF56BF" w:rsidR="003A553C" w:rsidRDefault="003A553C" w:rsidP="00E31D98">
      <w:pPr>
        <w:ind w:left="426"/>
        <w:rPr>
          <w:rFonts w:ascii="Lato" w:hAnsi="Lato"/>
          <w:sz w:val="24"/>
          <w:lang w:val="en-US"/>
        </w:rPr>
      </w:pPr>
      <w:r>
        <w:rPr>
          <w:rFonts w:ascii="Lato" w:hAnsi="Lato"/>
          <w:sz w:val="24"/>
          <w:lang w:val="en-US"/>
        </w:rPr>
        <w:t>If QECNT does</w:t>
      </w:r>
      <w:r w:rsidR="00643E39">
        <w:rPr>
          <w:rFonts w:ascii="Lato" w:hAnsi="Lato"/>
          <w:sz w:val="24"/>
          <w:lang w:val="en-US"/>
        </w:rPr>
        <w:t xml:space="preserve"> not agree to make requested amendments to personal information</w:t>
      </w:r>
      <w:r w:rsidR="005408A0">
        <w:rPr>
          <w:rFonts w:ascii="Lato" w:hAnsi="Lato"/>
          <w:sz w:val="24"/>
          <w:lang w:val="en-US"/>
        </w:rPr>
        <w:t>,</w:t>
      </w:r>
      <w:r w:rsidR="00643E39">
        <w:rPr>
          <w:rFonts w:ascii="Lato" w:hAnsi="Lato"/>
          <w:sz w:val="24"/>
          <w:lang w:val="en-US"/>
        </w:rPr>
        <w:t xml:space="preserve"> the individual may </w:t>
      </w:r>
      <w:r w:rsidR="005408A0">
        <w:rPr>
          <w:rFonts w:ascii="Lato" w:hAnsi="Lato"/>
          <w:sz w:val="24"/>
          <w:lang w:val="en-US"/>
        </w:rPr>
        <w:t xml:space="preserve">submit </w:t>
      </w:r>
      <w:r w:rsidR="00643E39">
        <w:rPr>
          <w:rFonts w:ascii="Lato" w:hAnsi="Lato"/>
          <w:sz w:val="24"/>
          <w:lang w:val="en-US"/>
        </w:rPr>
        <w:t>a statement about the requested amendments that will be attached to the record.</w:t>
      </w:r>
    </w:p>
    <w:p w14:paraId="52FE277D" w14:textId="77777777" w:rsidR="00643E39" w:rsidRDefault="00643E39" w:rsidP="00E31D98">
      <w:pPr>
        <w:ind w:left="426"/>
        <w:rPr>
          <w:rFonts w:ascii="Lato" w:hAnsi="Lato"/>
          <w:sz w:val="24"/>
          <w:lang w:val="en-US"/>
        </w:rPr>
      </w:pPr>
    </w:p>
    <w:p w14:paraId="718E7E34" w14:textId="77777777" w:rsidR="003562E6" w:rsidRDefault="003562E6" w:rsidP="00E31D98">
      <w:pPr>
        <w:ind w:left="426"/>
        <w:rPr>
          <w:rFonts w:ascii="Lato" w:hAnsi="Lato"/>
          <w:sz w:val="24"/>
          <w:lang w:val="en-US"/>
        </w:rPr>
      </w:pPr>
    </w:p>
    <w:p w14:paraId="028C8482" w14:textId="77777777" w:rsidR="003562E6" w:rsidRDefault="003562E6" w:rsidP="00E31D98">
      <w:pPr>
        <w:ind w:left="426"/>
        <w:rPr>
          <w:rFonts w:ascii="Lato" w:hAnsi="Lato"/>
          <w:sz w:val="24"/>
          <w:lang w:val="en-US"/>
        </w:rPr>
      </w:pPr>
    </w:p>
    <w:p w14:paraId="7B3DC737" w14:textId="77777777" w:rsidR="002530F4" w:rsidRDefault="00EB3D38" w:rsidP="003562E6">
      <w:pPr>
        <w:tabs>
          <w:tab w:val="left" w:pos="426"/>
        </w:tabs>
        <w:rPr>
          <w:rFonts w:ascii="Lato" w:hAnsi="Lato"/>
          <w:sz w:val="24"/>
          <w:lang w:val="en-US"/>
        </w:rPr>
      </w:pPr>
      <w:r>
        <w:rPr>
          <w:rFonts w:ascii="Lato" w:hAnsi="Lato" w:cs="Arial"/>
          <w:b/>
          <w:bCs/>
          <w:sz w:val="24"/>
          <w:lang w:val="en-US"/>
        </w:rPr>
        <w:t>3</w:t>
      </w:r>
      <w:r w:rsidR="00353B0F">
        <w:rPr>
          <w:rFonts w:ascii="Lato" w:hAnsi="Lato" w:cs="Arial"/>
          <w:b/>
          <w:bCs/>
          <w:sz w:val="24"/>
          <w:lang w:val="en-US"/>
        </w:rPr>
        <w:t>.</w:t>
      </w:r>
      <w:r w:rsidR="00AF133F">
        <w:rPr>
          <w:rFonts w:ascii="Lato" w:hAnsi="Lato" w:cs="Arial"/>
          <w:b/>
          <w:bCs/>
          <w:sz w:val="24"/>
          <w:lang w:val="en-US"/>
        </w:rPr>
        <w:t>7</w:t>
      </w:r>
      <w:r w:rsidR="00353B0F">
        <w:rPr>
          <w:rFonts w:ascii="Lato" w:hAnsi="Lato" w:cs="Arial"/>
          <w:b/>
          <w:bCs/>
          <w:sz w:val="24"/>
          <w:lang w:val="en-US"/>
        </w:rPr>
        <w:tab/>
        <w:t>Anonymity and pseudonym</w:t>
      </w:r>
      <w:r w:rsidR="00D06184">
        <w:rPr>
          <w:rFonts w:ascii="Lato" w:hAnsi="Lato" w:cs="Arial"/>
          <w:b/>
          <w:bCs/>
          <w:sz w:val="24"/>
          <w:lang w:val="en-US"/>
        </w:rPr>
        <w:t>s</w:t>
      </w:r>
    </w:p>
    <w:p w14:paraId="0C107CE6" w14:textId="560803D3" w:rsidR="00811B24" w:rsidRDefault="00CD151E" w:rsidP="003562E6">
      <w:pPr>
        <w:ind w:left="426"/>
        <w:rPr>
          <w:rFonts w:ascii="Lato" w:hAnsi="Lato"/>
          <w:sz w:val="24"/>
          <w:lang w:val="en-US"/>
        </w:rPr>
      </w:pPr>
      <w:r>
        <w:rPr>
          <w:rFonts w:ascii="Lato" w:hAnsi="Lato"/>
          <w:sz w:val="24"/>
          <w:lang w:val="en-US"/>
        </w:rPr>
        <w:t>There are limited situations where</w:t>
      </w:r>
      <w:r w:rsidR="008F15C6">
        <w:rPr>
          <w:rFonts w:ascii="Lato" w:hAnsi="Lato"/>
          <w:sz w:val="24"/>
          <w:lang w:val="en-US"/>
        </w:rPr>
        <w:t xml:space="preserve"> </w:t>
      </w:r>
      <w:r w:rsidR="005408A0">
        <w:rPr>
          <w:rFonts w:ascii="Lato" w:hAnsi="Lato"/>
          <w:sz w:val="24"/>
          <w:lang w:val="en-US"/>
        </w:rPr>
        <w:t>an individual may choose to remain anonymous or use</w:t>
      </w:r>
      <w:r w:rsidR="008F15C6">
        <w:rPr>
          <w:rFonts w:ascii="Lato" w:hAnsi="Lato"/>
          <w:sz w:val="24"/>
          <w:lang w:val="en-US"/>
        </w:rPr>
        <w:t xml:space="preserve"> a pseudonym when dealing with QECNT.</w:t>
      </w:r>
      <w:r>
        <w:rPr>
          <w:rFonts w:ascii="Lato" w:hAnsi="Lato"/>
          <w:sz w:val="24"/>
          <w:lang w:val="en-US"/>
        </w:rPr>
        <w:t xml:space="preserve"> The most common situation where anonymity or </w:t>
      </w:r>
      <w:r w:rsidR="00170743">
        <w:rPr>
          <w:rFonts w:ascii="Lato" w:hAnsi="Lato"/>
          <w:sz w:val="24"/>
          <w:lang w:val="en-US"/>
        </w:rPr>
        <w:t xml:space="preserve">use of a </w:t>
      </w:r>
      <w:r>
        <w:rPr>
          <w:rFonts w:ascii="Lato" w:hAnsi="Lato"/>
          <w:sz w:val="24"/>
          <w:lang w:val="en-US"/>
        </w:rPr>
        <w:t xml:space="preserve">pseudonym is </w:t>
      </w:r>
      <w:r w:rsidR="00811B24">
        <w:rPr>
          <w:rFonts w:ascii="Lato" w:hAnsi="Lato"/>
          <w:sz w:val="24"/>
          <w:lang w:val="en-US"/>
        </w:rPr>
        <w:t xml:space="preserve">possible is where an individual </w:t>
      </w:r>
      <w:r w:rsidR="00170743">
        <w:rPr>
          <w:rFonts w:ascii="Lato" w:hAnsi="Lato"/>
          <w:sz w:val="24"/>
          <w:lang w:val="en-US"/>
        </w:rPr>
        <w:t>makes</w:t>
      </w:r>
      <w:r w:rsidR="00811B24">
        <w:rPr>
          <w:rFonts w:ascii="Lato" w:hAnsi="Lato"/>
          <w:sz w:val="24"/>
          <w:lang w:val="en-US"/>
        </w:rPr>
        <w:t xml:space="preserve"> a complaint about a service or provider or </w:t>
      </w:r>
      <w:r w:rsidR="00170743">
        <w:rPr>
          <w:rFonts w:ascii="Lato" w:hAnsi="Lato"/>
          <w:sz w:val="24"/>
          <w:lang w:val="en-US"/>
        </w:rPr>
        <w:t xml:space="preserve">reports </w:t>
      </w:r>
      <w:r w:rsidR="00811B24">
        <w:rPr>
          <w:rFonts w:ascii="Lato" w:hAnsi="Lato"/>
          <w:sz w:val="24"/>
          <w:lang w:val="en-US"/>
        </w:rPr>
        <w:t>a possible cont</w:t>
      </w:r>
      <w:r w:rsidR="007A6091">
        <w:rPr>
          <w:rFonts w:ascii="Lato" w:hAnsi="Lato"/>
          <w:sz w:val="24"/>
          <w:lang w:val="en-US"/>
        </w:rPr>
        <w:t>ravention of the National Law.</w:t>
      </w:r>
    </w:p>
    <w:p w14:paraId="6F943707" w14:textId="77777777" w:rsidR="008F15C6" w:rsidRDefault="008F15C6" w:rsidP="002342B1">
      <w:pPr>
        <w:ind w:left="426"/>
        <w:rPr>
          <w:rFonts w:ascii="Lato" w:hAnsi="Lato"/>
          <w:sz w:val="24"/>
          <w:lang w:val="en-US"/>
        </w:rPr>
      </w:pPr>
    </w:p>
    <w:p w14:paraId="240FFF95" w14:textId="76121590" w:rsidR="002B6FFE" w:rsidRDefault="00EB3D38" w:rsidP="007A6091">
      <w:pPr>
        <w:tabs>
          <w:tab w:val="left" w:pos="426"/>
        </w:tabs>
        <w:rPr>
          <w:rFonts w:ascii="Lato" w:hAnsi="Lato" w:cs="Arial"/>
          <w:b/>
          <w:bCs/>
          <w:sz w:val="24"/>
          <w:lang w:val="en-US"/>
        </w:rPr>
      </w:pPr>
      <w:r>
        <w:rPr>
          <w:rFonts w:ascii="Lato" w:hAnsi="Lato" w:cs="Arial"/>
          <w:b/>
          <w:bCs/>
          <w:sz w:val="24"/>
          <w:lang w:val="en-US"/>
        </w:rPr>
        <w:t>3</w:t>
      </w:r>
      <w:r w:rsidR="002B6FFE">
        <w:rPr>
          <w:rFonts w:ascii="Lato" w:hAnsi="Lato" w:cs="Arial"/>
          <w:b/>
          <w:bCs/>
          <w:sz w:val="24"/>
          <w:lang w:val="en-US"/>
        </w:rPr>
        <w:t>.</w:t>
      </w:r>
      <w:r w:rsidR="00AF133F">
        <w:rPr>
          <w:rFonts w:ascii="Lato" w:hAnsi="Lato" w:cs="Arial"/>
          <w:b/>
          <w:bCs/>
          <w:sz w:val="24"/>
          <w:lang w:val="en-US"/>
        </w:rPr>
        <w:t>8</w:t>
      </w:r>
      <w:r w:rsidR="002B6FFE">
        <w:rPr>
          <w:rFonts w:ascii="Lato" w:hAnsi="Lato" w:cs="Arial"/>
          <w:b/>
          <w:bCs/>
          <w:sz w:val="24"/>
          <w:lang w:val="en-US"/>
        </w:rPr>
        <w:tab/>
        <w:t xml:space="preserve">QECNT </w:t>
      </w:r>
      <w:r w:rsidR="00755409">
        <w:rPr>
          <w:rFonts w:ascii="Lato" w:hAnsi="Lato" w:cs="Arial"/>
          <w:b/>
          <w:bCs/>
          <w:sz w:val="24"/>
          <w:lang w:val="en-US"/>
        </w:rPr>
        <w:t>w</w:t>
      </w:r>
      <w:r w:rsidR="002B6FFE">
        <w:rPr>
          <w:rFonts w:ascii="Lato" w:hAnsi="Lato" w:cs="Arial"/>
          <w:b/>
          <w:bCs/>
          <w:sz w:val="24"/>
          <w:lang w:val="en-US"/>
        </w:rPr>
        <w:t>eb</w:t>
      </w:r>
      <w:r w:rsidR="00D67C24">
        <w:rPr>
          <w:rFonts w:ascii="Lato" w:hAnsi="Lato" w:cs="Arial"/>
          <w:b/>
          <w:bCs/>
          <w:sz w:val="24"/>
          <w:lang w:val="en-US"/>
        </w:rPr>
        <w:t>page</w:t>
      </w:r>
    </w:p>
    <w:p w14:paraId="14CCAA4F" w14:textId="0C87A6F3" w:rsidR="002B6FFE" w:rsidRDefault="00D67C24" w:rsidP="007A6091">
      <w:pPr>
        <w:pStyle w:val="ListParagraph"/>
        <w:ind w:left="426"/>
        <w:contextualSpacing w:val="0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QECNT provides information to the public through a webpage on the Department of Education</w:t>
      </w:r>
      <w:r w:rsidR="000D619F">
        <w:rPr>
          <w:rFonts w:ascii="Lato" w:hAnsi="Lato" w:cs="Arial"/>
          <w:bCs/>
          <w:sz w:val="24"/>
          <w:szCs w:val="28"/>
          <w:lang w:val="en-US"/>
        </w:rPr>
        <w:t>’s</w:t>
      </w:r>
      <w:r>
        <w:rPr>
          <w:rFonts w:ascii="Lato" w:hAnsi="Lato" w:cs="Arial"/>
          <w:bCs/>
          <w:sz w:val="24"/>
          <w:szCs w:val="28"/>
          <w:lang w:val="en-US"/>
        </w:rPr>
        <w:t xml:space="preserve"> website. </w:t>
      </w:r>
    </w:p>
    <w:p w14:paraId="0AAE4E80" w14:textId="77777777" w:rsidR="00D67C24" w:rsidRDefault="00D67C24" w:rsidP="002B6FFE">
      <w:pPr>
        <w:pStyle w:val="ListParagraph"/>
        <w:ind w:left="426"/>
        <w:rPr>
          <w:rFonts w:ascii="Lato" w:hAnsi="Lato" w:cs="Arial"/>
          <w:bCs/>
          <w:sz w:val="24"/>
          <w:szCs w:val="28"/>
          <w:lang w:val="en-US"/>
        </w:rPr>
      </w:pPr>
    </w:p>
    <w:p w14:paraId="5C064802" w14:textId="1A4DB495" w:rsidR="00D67C24" w:rsidRDefault="00D67C24" w:rsidP="002B6FFE">
      <w:pPr>
        <w:pStyle w:val="ListParagraph"/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Information regarding privacy and how </w:t>
      </w:r>
      <w:r w:rsidR="0086030B">
        <w:rPr>
          <w:rFonts w:ascii="Lato" w:hAnsi="Lato" w:cs="Arial"/>
          <w:bCs/>
          <w:sz w:val="24"/>
          <w:szCs w:val="28"/>
          <w:lang w:val="en-US"/>
        </w:rPr>
        <w:t xml:space="preserve">personal information is collected and used when individuals access </w:t>
      </w:r>
      <w:r w:rsidR="000D619F">
        <w:rPr>
          <w:rFonts w:ascii="Lato" w:hAnsi="Lato" w:cs="Arial"/>
          <w:bCs/>
          <w:sz w:val="24"/>
          <w:szCs w:val="28"/>
          <w:lang w:val="en-US"/>
        </w:rPr>
        <w:t xml:space="preserve">the department’s </w:t>
      </w:r>
      <w:r w:rsidR="0086030B">
        <w:rPr>
          <w:rFonts w:ascii="Lato" w:hAnsi="Lato" w:cs="Arial"/>
          <w:bCs/>
          <w:sz w:val="24"/>
          <w:szCs w:val="28"/>
          <w:lang w:val="en-US"/>
        </w:rPr>
        <w:t xml:space="preserve">website is available at </w:t>
      </w:r>
      <w:hyperlink r:id="rId12" w:history="1">
        <w:r w:rsidR="0086030B" w:rsidRPr="00642B9E">
          <w:rPr>
            <w:rStyle w:val="Hyperlink"/>
            <w:rFonts w:ascii="Lato" w:hAnsi="Lato" w:cs="Arial"/>
            <w:bCs/>
            <w:sz w:val="24"/>
            <w:szCs w:val="28"/>
            <w:lang w:val="en-US"/>
          </w:rPr>
          <w:t>https://nt.gov.au/copyright-disclaimer-and-privacy</w:t>
        </w:r>
      </w:hyperlink>
      <w:r w:rsidR="007A6091">
        <w:rPr>
          <w:rFonts w:ascii="Lato" w:hAnsi="Lato" w:cs="Arial"/>
          <w:bCs/>
          <w:sz w:val="24"/>
          <w:szCs w:val="28"/>
          <w:lang w:val="en-US"/>
        </w:rPr>
        <w:t>.</w:t>
      </w:r>
    </w:p>
    <w:p w14:paraId="780567D0" w14:textId="77777777" w:rsidR="002B6FFE" w:rsidRDefault="002B6FFE" w:rsidP="002342B1">
      <w:pPr>
        <w:ind w:left="426"/>
        <w:rPr>
          <w:rFonts w:ascii="Lato" w:hAnsi="Lato"/>
          <w:sz w:val="24"/>
          <w:lang w:val="en-US"/>
        </w:rPr>
      </w:pPr>
    </w:p>
    <w:p w14:paraId="026C96C5" w14:textId="32158887" w:rsidR="004B20F1" w:rsidRDefault="002B6FFE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>PRIVACY CONCERNS, COMPLAINTS</w:t>
      </w:r>
      <w:r w:rsidR="0038763E">
        <w:rPr>
          <w:rFonts w:ascii="Lato" w:hAnsi="Lato" w:cs="Arial"/>
          <w:b/>
          <w:bCs/>
          <w:sz w:val="28"/>
          <w:szCs w:val="28"/>
          <w:lang w:val="en-US"/>
        </w:rPr>
        <w:t>, ACCESS</w:t>
      </w:r>
      <w:r>
        <w:rPr>
          <w:rFonts w:ascii="Lato" w:hAnsi="Lato" w:cs="Arial"/>
          <w:b/>
          <w:bCs/>
          <w:sz w:val="28"/>
          <w:szCs w:val="28"/>
          <w:lang w:val="en-US"/>
        </w:rPr>
        <w:t xml:space="preserve"> OR CHANGES TO PERSONAL INFORMATION</w:t>
      </w:r>
    </w:p>
    <w:p w14:paraId="1AE0AEF4" w14:textId="77777777" w:rsidR="004B20F1" w:rsidRDefault="004B20F1" w:rsidP="004B20F1">
      <w:pPr>
        <w:pStyle w:val="ListParagraph"/>
        <w:ind w:left="426"/>
        <w:rPr>
          <w:rFonts w:ascii="Lato" w:hAnsi="Lato" w:cs="Arial"/>
          <w:bCs/>
          <w:sz w:val="24"/>
          <w:szCs w:val="28"/>
          <w:lang w:val="en-US"/>
        </w:rPr>
      </w:pPr>
    </w:p>
    <w:p w14:paraId="38A480A3" w14:textId="4B2485A1" w:rsidR="004B20F1" w:rsidRDefault="00F72E71" w:rsidP="004B20F1">
      <w:pPr>
        <w:pStyle w:val="ListParagraph"/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Should an individual</w:t>
      </w:r>
      <w:r w:rsidR="004B20F1">
        <w:rPr>
          <w:rFonts w:ascii="Lato" w:hAnsi="Lato" w:cs="Arial"/>
          <w:bCs/>
          <w:sz w:val="24"/>
          <w:szCs w:val="28"/>
          <w:lang w:val="en-US"/>
        </w:rPr>
        <w:t xml:space="preserve"> wish to access or change </w:t>
      </w:r>
      <w:r>
        <w:rPr>
          <w:rFonts w:ascii="Lato" w:hAnsi="Lato" w:cs="Arial"/>
          <w:bCs/>
          <w:sz w:val="24"/>
          <w:szCs w:val="28"/>
          <w:lang w:val="en-US"/>
        </w:rPr>
        <w:t xml:space="preserve">their </w:t>
      </w:r>
      <w:r w:rsidR="004B20F1">
        <w:rPr>
          <w:rFonts w:ascii="Lato" w:hAnsi="Lato" w:cs="Arial"/>
          <w:bCs/>
          <w:sz w:val="24"/>
          <w:szCs w:val="28"/>
          <w:lang w:val="en-US"/>
        </w:rPr>
        <w:t xml:space="preserve">personal information, report any concerns about how QECNT has handled </w:t>
      </w:r>
      <w:r>
        <w:rPr>
          <w:rFonts w:ascii="Lato" w:hAnsi="Lato" w:cs="Arial"/>
          <w:bCs/>
          <w:sz w:val="24"/>
          <w:szCs w:val="28"/>
          <w:lang w:val="en-US"/>
        </w:rPr>
        <w:t xml:space="preserve">their </w:t>
      </w:r>
      <w:r w:rsidR="004B20F1">
        <w:rPr>
          <w:rFonts w:ascii="Lato" w:hAnsi="Lato" w:cs="Arial"/>
          <w:bCs/>
          <w:sz w:val="24"/>
          <w:szCs w:val="28"/>
          <w:lang w:val="en-US"/>
        </w:rPr>
        <w:t>personal information or believe there has been a breach of the Australian Privacy Princip</w:t>
      </w:r>
      <w:r w:rsidR="009148E9">
        <w:rPr>
          <w:rFonts w:ascii="Lato" w:hAnsi="Lato" w:cs="Arial"/>
          <w:bCs/>
          <w:sz w:val="24"/>
          <w:szCs w:val="28"/>
          <w:lang w:val="en-US"/>
        </w:rPr>
        <w:t>le</w:t>
      </w:r>
      <w:r w:rsidR="004B20F1">
        <w:rPr>
          <w:rFonts w:ascii="Lato" w:hAnsi="Lato" w:cs="Arial"/>
          <w:bCs/>
          <w:sz w:val="24"/>
          <w:szCs w:val="28"/>
          <w:lang w:val="en-US"/>
        </w:rPr>
        <w:t xml:space="preserve">s, </w:t>
      </w:r>
      <w:r>
        <w:rPr>
          <w:rFonts w:ascii="Lato" w:hAnsi="Lato" w:cs="Arial"/>
          <w:bCs/>
          <w:sz w:val="24"/>
          <w:szCs w:val="28"/>
          <w:lang w:val="en-US"/>
        </w:rPr>
        <w:t xml:space="preserve">they </w:t>
      </w:r>
      <w:r w:rsidR="004B20F1">
        <w:rPr>
          <w:rFonts w:ascii="Lato" w:hAnsi="Lato" w:cs="Arial"/>
          <w:bCs/>
          <w:sz w:val="24"/>
          <w:szCs w:val="28"/>
          <w:lang w:val="en-US"/>
        </w:rPr>
        <w:t>may contact QECNT</w:t>
      </w:r>
      <w:r>
        <w:rPr>
          <w:rFonts w:ascii="Lato" w:hAnsi="Lato" w:cs="Arial"/>
          <w:bCs/>
          <w:sz w:val="24"/>
          <w:szCs w:val="28"/>
          <w:lang w:val="en-US"/>
        </w:rPr>
        <w:t xml:space="preserve"> as follows</w:t>
      </w:r>
      <w:r w:rsidR="004B20F1">
        <w:rPr>
          <w:rFonts w:ascii="Lato" w:hAnsi="Lato" w:cs="Arial"/>
          <w:bCs/>
          <w:sz w:val="24"/>
          <w:szCs w:val="28"/>
          <w:lang w:val="en-US"/>
        </w:rPr>
        <w:t>:</w:t>
      </w:r>
    </w:p>
    <w:p w14:paraId="19E7CE53" w14:textId="77777777" w:rsidR="004B20F1" w:rsidRDefault="004B20F1" w:rsidP="004B20F1">
      <w:pPr>
        <w:pStyle w:val="ListParagraph"/>
        <w:ind w:left="426"/>
        <w:rPr>
          <w:rFonts w:ascii="Lato" w:hAnsi="Lato" w:cs="Arial"/>
          <w:bCs/>
          <w:sz w:val="24"/>
          <w:szCs w:val="28"/>
          <w:lang w:val="en-US"/>
        </w:rPr>
      </w:pPr>
    </w:p>
    <w:p w14:paraId="6CE30936" w14:textId="2FE22F50" w:rsidR="004B20F1" w:rsidRDefault="00512625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By </w:t>
      </w:r>
      <w:r w:rsidR="004B20F1">
        <w:rPr>
          <w:rFonts w:ascii="Lato" w:hAnsi="Lato" w:cs="Arial"/>
          <w:bCs/>
          <w:sz w:val="24"/>
          <w:szCs w:val="28"/>
          <w:lang w:val="en-US"/>
        </w:rPr>
        <w:t xml:space="preserve">email: </w:t>
      </w:r>
      <w:r w:rsidR="004B20F1">
        <w:rPr>
          <w:rFonts w:ascii="Lato" w:hAnsi="Lato" w:cs="Arial"/>
          <w:bCs/>
          <w:sz w:val="24"/>
          <w:szCs w:val="28"/>
          <w:lang w:val="en-US"/>
        </w:rPr>
        <w:tab/>
      </w:r>
      <w:hyperlink r:id="rId13" w:history="1">
        <w:r w:rsidR="004B20F1" w:rsidRPr="00AF2034">
          <w:rPr>
            <w:rStyle w:val="Hyperlink"/>
            <w:rFonts w:ascii="Lato" w:hAnsi="Lato" w:cs="Arial"/>
            <w:bCs/>
            <w:sz w:val="24"/>
            <w:szCs w:val="28"/>
            <w:lang w:val="en-US"/>
          </w:rPr>
          <w:t>qualityecnt.det@nt.gov.au</w:t>
        </w:r>
      </w:hyperlink>
    </w:p>
    <w:p w14:paraId="5CE54C42" w14:textId="77777777" w:rsidR="004B20F1" w:rsidRDefault="004B20F1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</w:p>
    <w:p w14:paraId="63AB72B1" w14:textId="53275F68" w:rsidR="004B20F1" w:rsidRDefault="00512625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By </w:t>
      </w:r>
      <w:r w:rsidR="001C23C9">
        <w:rPr>
          <w:rFonts w:ascii="Lato" w:hAnsi="Lato" w:cs="Arial"/>
          <w:bCs/>
          <w:sz w:val="24"/>
          <w:szCs w:val="28"/>
          <w:lang w:val="en-US"/>
        </w:rPr>
        <w:t>mail</w:t>
      </w:r>
      <w:r w:rsidR="004B20F1">
        <w:rPr>
          <w:rFonts w:ascii="Lato" w:hAnsi="Lato" w:cs="Arial"/>
          <w:bCs/>
          <w:sz w:val="24"/>
          <w:szCs w:val="28"/>
          <w:lang w:val="en-US"/>
        </w:rPr>
        <w:t>:</w:t>
      </w:r>
      <w:r w:rsidR="004B20F1">
        <w:rPr>
          <w:rFonts w:ascii="Lato" w:hAnsi="Lato" w:cs="Arial"/>
          <w:bCs/>
          <w:sz w:val="24"/>
          <w:szCs w:val="28"/>
          <w:lang w:val="en-US"/>
        </w:rPr>
        <w:tab/>
      </w:r>
      <w:r w:rsidR="00556B84">
        <w:rPr>
          <w:rFonts w:ascii="Lato" w:hAnsi="Lato" w:cs="Arial"/>
          <w:bCs/>
          <w:sz w:val="24"/>
          <w:szCs w:val="28"/>
          <w:lang w:val="en-US"/>
        </w:rPr>
        <w:t>Quality Education and Care NT</w:t>
      </w:r>
    </w:p>
    <w:p w14:paraId="435BCDA9" w14:textId="77777777" w:rsidR="00556B84" w:rsidRDefault="00556B84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ab/>
        <w:t>GPO Box 4821</w:t>
      </w:r>
    </w:p>
    <w:p w14:paraId="33EDB2AC" w14:textId="77777777" w:rsidR="00556B84" w:rsidRDefault="00556B84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ab/>
        <w:t>DARWIN NT 0801</w:t>
      </w:r>
    </w:p>
    <w:p w14:paraId="40EC4800" w14:textId="77777777" w:rsidR="007D330C" w:rsidRDefault="007D330C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</w:p>
    <w:p w14:paraId="439307D5" w14:textId="0A675CEF" w:rsidR="007D330C" w:rsidRDefault="00512625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By </w:t>
      </w:r>
      <w:r w:rsidR="000E16B2">
        <w:rPr>
          <w:rFonts w:ascii="Lato" w:hAnsi="Lato" w:cs="Arial"/>
          <w:bCs/>
          <w:sz w:val="24"/>
          <w:szCs w:val="28"/>
          <w:lang w:val="en-US"/>
        </w:rPr>
        <w:t>tele</w:t>
      </w:r>
      <w:r w:rsidR="007D330C">
        <w:rPr>
          <w:rFonts w:ascii="Lato" w:hAnsi="Lato" w:cs="Arial"/>
          <w:bCs/>
          <w:sz w:val="24"/>
          <w:szCs w:val="28"/>
          <w:lang w:val="en-US"/>
        </w:rPr>
        <w:t xml:space="preserve">phone: </w:t>
      </w:r>
      <w:r w:rsidR="007D330C">
        <w:rPr>
          <w:rFonts w:ascii="Lato" w:hAnsi="Lato" w:cs="Arial"/>
          <w:bCs/>
          <w:sz w:val="24"/>
          <w:szCs w:val="28"/>
          <w:lang w:val="en-US"/>
        </w:rPr>
        <w:tab/>
        <w:t>(08) 8999 3561</w:t>
      </w:r>
    </w:p>
    <w:p w14:paraId="7AA05C6E" w14:textId="77777777" w:rsidR="004B20F1" w:rsidRDefault="004B20F1" w:rsidP="004B20F1">
      <w:pPr>
        <w:pStyle w:val="ListParagraph"/>
        <w:tabs>
          <w:tab w:val="left" w:pos="1701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</w:p>
    <w:p w14:paraId="7506D0EF" w14:textId="06346CB3" w:rsidR="002B6FFE" w:rsidRDefault="0038763E" w:rsidP="004B20F1">
      <w:pPr>
        <w:pStyle w:val="ListParagraph"/>
        <w:tabs>
          <w:tab w:val="left" w:pos="1701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QECNT will </w:t>
      </w:r>
      <w:r w:rsidR="00C95E38">
        <w:rPr>
          <w:rFonts w:ascii="Lato" w:hAnsi="Lato" w:cs="Arial"/>
          <w:bCs/>
          <w:sz w:val="24"/>
          <w:szCs w:val="28"/>
          <w:lang w:val="en-US"/>
        </w:rPr>
        <w:t xml:space="preserve">take all reasonable steps </w:t>
      </w:r>
      <w:r>
        <w:rPr>
          <w:rFonts w:ascii="Lato" w:hAnsi="Lato" w:cs="Arial"/>
          <w:bCs/>
          <w:sz w:val="24"/>
          <w:szCs w:val="28"/>
          <w:lang w:val="en-US"/>
        </w:rPr>
        <w:t xml:space="preserve">to resolve any concerns raised. </w:t>
      </w:r>
      <w:r w:rsidR="00C95E38">
        <w:rPr>
          <w:rFonts w:ascii="Lato" w:hAnsi="Lato" w:cs="Arial"/>
          <w:bCs/>
          <w:sz w:val="24"/>
          <w:szCs w:val="28"/>
          <w:lang w:val="en-US"/>
        </w:rPr>
        <w:t>Should an individual be unsatisfied</w:t>
      </w:r>
      <w:r w:rsidR="002B6FFE">
        <w:rPr>
          <w:rFonts w:ascii="Lato" w:hAnsi="Lato" w:cs="Arial"/>
          <w:bCs/>
          <w:sz w:val="24"/>
          <w:szCs w:val="28"/>
          <w:lang w:val="en-US"/>
        </w:rPr>
        <w:t xml:space="preserve"> with the response provided, </w:t>
      </w:r>
      <w:r w:rsidR="00C95E38">
        <w:rPr>
          <w:rFonts w:ascii="Lato" w:hAnsi="Lato" w:cs="Arial"/>
          <w:bCs/>
          <w:sz w:val="24"/>
          <w:szCs w:val="28"/>
          <w:lang w:val="en-US"/>
        </w:rPr>
        <w:t xml:space="preserve">they </w:t>
      </w:r>
      <w:r w:rsidR="002B6FFE">
        <w:rPr>
          <w:rFonts w:ascii="Lato" w:hAnsi="Lato" w:cs="Arial"/>
          <w:bCs/>
          <w:sz w:val="24"/>
          <w:szCs w:val="28"/>
          <w:lang w:val="en-US"/>
        </w:rPr>
        <w:t xml:space="preserve">may refer </w:t>
      </w:r>
      <w:r w:rsidR="00C95E38">
        <w:rPr>
          <w:rFonts w:ascii="Lato" w:hAnsi="Lato" w:cs="Arial"/>
          <w:bCs/>
          <w:sz w:val="24"/>
          <w:szCs w:val="28"/>
          <w:lang w:val="en-US"/>
        </w:rPr>
        <w:t xml:space="preserve">their </w:t>
      </w:r>
      <w:r w:rsidR="002B6FFE">
        <w:rPr>
          <w:rFonts w:ascii="Lato" w:hAnsi="Lato" w:cs="Arial"/>
          <w:bCs/>
          <w:sz w:val="24"/>
          <w:szCs w:val="28"/>
          <w:lang w:val="en-US"/>
        </w:rPr>
        <w:t>complaint directly to the National Education and Care Services Privacy Commissioner</w:t>
      </w:r>
      <w:r w:rsidR="001C23C9">
        <w:rPr>
          <w:rFonts w:ascii="Lato" w:hAnsi="Lato" w:cs="Arial"/>
          <w:bCs/>
          <w:sz w:val="24"/>
          <w:szCs w:val="28"/>
          <w:lang w:val="en-US"/>
        </w:rPr>
        <w:t xml:space="preserve"> as follows</w:t>
      </w:r>
      <w:r w:rsidR="002B6FFE">
        <w:rPr>
          <w:rFonts w:ascii="Lato" w:hAnsi="Lato" w:cs="Arial"/>
          <w:bCs/>
          <w:sz w:val="24"/>
          <w:szCs w:val="28"/>
          <w:lang w:val="en-US"/>
        </w:rPr>
        <w:t>:</w:t>
      </w:r>
    </w:p>
    <w:p w14:paraId="218A4D19" w14:textId="77777777" w:rsidR="002B6FFE" w:rsidRDefault="002B6FFE" w:rsidP="004B20F1">
      <w:pPr>
        <w:pStyle w:val="ListParagraph"/>
        <w:tabs>
          <w:tab w:val="left" w:pos="1701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</w:p>
    <w:p w14:paraId="51BC7DB1" w14:textId="77777777" w:rsidR="002B6FFE" w:rsidRDefault="002B6FFE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>By email:</w:t>
      </w:r>
      <w:r>
        <w:rPr>
          <w:rFonts w:ascii="Lato" w:hAnsi="Lato" w:cs="Arial"/>
          <w:bCs/>
          <w:sz w:val="24"/>
          <w:szCs w:val="28"/>
          <w:lang w:val="en-US"/>
        </w:rPr>
        <w:tab/>
      </w:r>
      <w:hyperlink r:id="rId14" w:history="1">
        <w:r w:rsidRPr="008F29D7">
          <w:rPr>
            <w:rStyle w:val="Hyperlink"/>
            <w:rFonts w:ascii="Lato" w:hAnsi="Lato" w:cs="Arial"/>
            <w:bCs/>
            <w:sz w:val="24"/>
            <w:szCs w:val="28"/>
            <w:lang w:val="en-US"/>
          </w:rPr>
          <w:t>enquiry@necsopic.edu.au</w:t>
        </w:r>
      </w:hyperlink>
    </w:p>
    <w:p w14:paraId="472EBF53" w14:textId="77777777" w:rsidR="002B6FFE" w:rsidRDefault="002B6FFE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</w:p>
    <w:p w14:paraId="676EACB1" w14:textId="243ACCD8" w:rsidR="002B6FFE" w:rsidRDefault="002B6FFE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By </w:t>
      </w:r>
      <w:r w:rsidR="001C23C9">
        <w:rPr>
          <w:rFonts w:ascii="Lato" w:hAnsi="Lato" w:cs="Arial"/>
          <w:bCs/>
          <w:sz w:val="24"/>
          <w:szCs w:val="28"/>
          <w:lang w:val="en-US"/>
        </w:rPr>
        <w:t>mail</w:t>
      </w:r>
      <w:r>
        <w:rPr>
          <w:rFonts w:ascii="Lato" w:hAnsi="Lato" w:cs="Arial"/>
          <w:bCs/>
          <w:sz w:val="24"/>
          <w:szCs w:val="28"/>
          <w:lang w:val="en-US"/>
        </w:rPr>
        <w:t>:</w:t>
      </w:r>
      <w:r>
        <w:rPr>
          <w:rFonts w:ascii="Lato" w:hAnsi="Lato" w:cs="Arial"/>
          <w:bCs/>
          <w:sz w:val="24"/>
          <w:szCs w:val="28"/>
          <w:lang w:val="en-US"/>
        </w:rPr>
        <w:tab/>
        <w:t>NECS Privacy Commissioner</w:t>
      </w:r>
    </w:p>
    <w:p w14:paraId="1BE3DE77" w14:textId="77777777" w:rsidR="002B6FFE" w:rsidRDefault="002B6FFE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ab/>
        <w:t>PO Box 202</w:t>
      </w:r>
    </w:p>
    <w:p w14:paraId="0FDA3EBE" w14:textId="4EB33953" w:rsidR="002B6FFE" w:rsidRDefault="000E16B2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ab/>
        <w:t xml:space="preserve">CARLTON SOUTH </w:t>
      </w:r>
      <w:r w:rsidR="001C23C9">
        <w:rPr>
          <w:rFonts w:ascii="Lato" w:hAnsi="Lato" w:cs="Arial"/>
          <w:bCs/>
          <w:sz w:val="24"/>
          <w:szCs w:val="28"/>
          <w:lang w:val="en-US"/>
        </w:rPr>
        <w:t xml:space="preserve"> VIC  </w:t>
      </w:r>
      <w:r>
        <w:rPr>
          <w:rFonts w:ascii="Lato" w:hAnsi="Lato" w:cs="Arial"/>
          <w:bCs/>
          <w:sz w:val="24"/>
          <w:szCs w:val="28"/>
          <w:lang w:val="en-US"/>
        </w:rPr>
        <w:t>3053</w:t>
      </w:r>
    </w:p>
    <w:p w14:paraId="42A5CBC0" w14:textId="77777777" w:rsidR="007D330C" w:rsidRDefault="007D330C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</w:p>
    <w:p w14:paraId="6D865E96" w14:textId="04D66A7A" w:rsidR="007D330C" w:rsidRDefault="007D330C" w:rsidP="000E16B2">
      <w:pPr>
        <w:pStyle w:val="ListParagraph"/>
        <w:tabs>
          <w:tab w:val="left" w:pos="2127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  <w:r>
        <w:rPr>
          <w:rFonts w:ascii="Lato" w:hAnsi="Lato" w:cs="Arial"/>
          <w:bCs/>
          <w:sz w:val="24"/>
          <w:szCs w:val="28"/>
          <w:lang w:val="en-US"/>
        </w:rPr>
        <w:t xml:space="preserve">By </w:t>
      </w:r>
      <w:r w:rsidR="000E16B2">
        <w:rPr>
          <w:rFonts w:ascii="Lato" w:hAnsi="Lato" w:cs="Arial"/>
          <w:bCs/>
          <w:sz w:val="24"/>
          <w:szCs w:val="28"/>
          <w:lang w:val="en-US"/>
        </w:rPr>
        <w:t>tele</w:t>
      </w:r>
      <w:r>
        <w:rPr>
          <w:rFonts w:ascii="Lato" w:hAnsi="Lato" w:cs="Arial"/>
          <w:bCs/>
          <w:sz w:val="24"/>
          <w:szCs w:val="28"/>
          <w:lang w:val="en-US"/>
        </w:rPr>
        <w:t>phone:</w:t>
      </w:r>
      <w:r>
        <w:rPr>
          <w:rFonts w:ascii="Lato" w:hAnsi="Lato" w:cs="Arial"/>
          <w:bCs/>
          <w:sz w:val="24"/>
          <w:szCs w:val="28"/>
          <w:lang w:val="en-US"/>
        </w:rPr>
        <w:tab/>
        <w:t>(03) 9654 1077</w:t>
      </w:r>
    </w:p>
    <w:p w14:paraId="18730B48" w14:textId="77777777" w:rsidR="00C64874" w:rsidRDefault="00C64874" w:rsidP="004B20F1">
      <w:pPr>
        <w:pStyle w:val="ListParagraph"/>
        <w:tabs>
          <w:tab w:val="left" w:pos="1701"/>
        </w:tabs>
        <w:ind w:left="426"/>
        <w:rPr>
          <w:rFonts w:ascii="Lato" w:hAnsi="Lato" w:cs="Arial"/>
          <w:bCs/>
          <w:sz w:val="24"/>
          <w:szCs w:val="28"/>
          <w:lang w:val="en-US"/>
        </w:rPr>
      </w:pPr>
    </w:p>
    <w:p w14:paraId="1084839B" w14:textId="3275BE33" w:rsidR="00F77E70" w:rsidRPr="00195D9D" w:rsidRDefault="0057392D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195D9D">
        <w:rPr>
          <w:rFonts w:ascii="Lato" w:hAnsi="Lato" w:cs="Arial"/>
          <w:b/>
          <w:bCs/>
          <w:sz w:val="28"/>
          <w:szCs w:val="28"/>
          <w:lang w:val="en-US"/>
        </w:rPr>
        <w:t>RELATED POLIC</w:t>
      </w:r>
      <w:r w:rsidR="00AF44A8" w:rsidRPr="00195D9D">
        <w:rPr>
          <w:rFonts w:ascii="Lato" w:hAnsi="Lato" w:cs="Arial"/>
          <w:b/>
          <w:bCs/>
          <w:sz w:val="28"/>
          <w:szCs w:val="28"/>
          <w:lang w:val="en-US"/>
        </w:rPr>
        <w:t>Y, LEGISLATION</w:t>
      </w:r>
      <w:r w:rsidRPr="00195D9D">
        <w:rPr>
          <w:rFonts w:ascii="Lato" w:hAnsi="Lato" w:cs="Arial"/>
          <w:b/>
          <w:bCs/>
          <w:sz w:val="28"/>
          <w:szCs w:val="28"/>
          <w:lang w:val="en-US"/>
        </w:rPr>
        <w:t xml:space="preserve"> </w:t>
      </w:r>
      <w:r w:rsidR="00E36F12">
        <w:rPr>
          <w:rFonts w:ascii="Lato" w:hAnsi="Lato" w:cs="Arial"/>
          <w:b/>
          <w:bCs/>
          <w:sz w:val="28"/>
          <w:szCs w:val="28"/>
          <w:lang w:val="en-US"/>
        </w:rPr>
        <w:t>AND DOCUMENTS</w:t>
      </w:r>
    </w:p>
    <w:p w14:paraId="46B9787F" w14:textId="77777777" w:rsidR="0010190F" w:rsidRPr="00195D9D" w:rsidRDefault="0010190F">
      <w:pPr>
        <w:ind w:left="426"/>
        <w:rPr>
          <w:rFonts w:ascii="Lato" w:hAnsi="Lato" w:cs="Arial"/>
          <w:bCs/>
          <w:sz w:val="24"/>
          <w:lang w:val="en-US"/>
        </w:rPr>
      </w:pPr>
    </w:p>
    <w:p w14:paraId="545079E6" w14:textId="77777777" w:rsidR="009C69F8" w:rsidRDefault="00653C8A" w:rsidP="007A6091">
      <w:pPr>
        <w:ind w:left="425"/>
        <w:rPr>
          <w:rFonts w:ascii="Lato" w:hAnsi="Lato" w:cs="Arial"/>
          <w:bCs/>
          <w:sz w:val="24"/>
          <w:lang w:val="en-US"/>
        </w:rPr>
      </w:pPr>
      <w:hyperlink r:id="rId15" w:history="1">
        <w:r w:rsidR="009C69F8" w:rsidRPr="00EA6B04">
          <w:rPr>
            <w:rStyle w:val="Hyperlink"/>
            <w:rFonts w:ascii="Lato" w:hAnsi="Lato" w:cs="Arial"/>
            <w:bCs/>
            <w:sz w:val="24"/>
            <w:lang w:val="en-US"/>
          </w:rPr>
          <w:t>Australian Privacy Principles</w:t>
        </w:r>
      </w:hyperlink>
    </w:p>
    <w:p w14:paraId="2E615D9F" w14:textId="77777777" w:rsidR="009C69F8" w:rsidRDefault="00653C8A" w:rsidP="007A6091">
      <w:pPr>
        <w:ind w:left="425"/>
        <w:rPr>
          <w:rFonts w:ascii="Lato" w:hAnsi="Lato" w:cs="Arial"/>
          <w:bCs/>
          <w:i/>
          <w:sz w:val="24"/>
          <w:lang w:val="en-US"/>
        </w:rPr>
      </w:pPr>
      <w:hyperlink r:id="rId16" w:history="1">
        <w:r w:rsidR="009C69F8" w:rsidRPr="007A3690">
          <w:rPr>
            <w:rStyle w:val="Hyperlink"/>
            <w:rFonts w:ascii="Lato" w:hAnsi="Lato" w:cs="Arial"/>
            <w:bCs/>
            <w:i/>
            <w:sz w:val="24"/>
            <w:lang w:val="en-US"/>
          </w:rPr>
          <w:t>Education and Care Services National Law</w:t>
        </w:r>
      </w:hyperlink>
    </w:p>
    <w:p w14:paraId="68517A45" w14:textId="77777777" w:rsidR="009C69F8" w:rsidRDefault="00653C8A" w:rsidP="007A6091">
      <w:pPr>
        <w:ind w:left="425"/>
        <w:rPr>
          <w:rStyle w:val="Hyperlink"/>
          <w:rFonts w:ascii="Lato" w:hAnsi="Lato" w:cs="Arial"/>
          <w:bCs/>
          <w:i/>
          <w:sz w:val="24"/>
          <w:lang w:val="en-US"/>
        </w:rPr>
      </w:pPr>
      <w:hyperlink r:id="rId17" w:anchor="/view/regulation/2011/653" w:history="1">
        <w:r w:rsidR="009C69F8" w:rsidRPr="007A3690">
          <w:rPr>
            <w:rStyle w:val="Hyperlink"/>
            <w:rFonts w:ascii="Lato" w:hAnsi="Lato" w:cs="Arial"/>
            <w:bCs/>
            <w:i/>
            <w:sz w:val="24"/>
            <w:lang w:val="en-US"/>
          </w:rPr>
          <w:t>Education and Care Services National Regulations</w:t>
        </w:r>
      </w:hyperlink>
    </w:p>
    <w:p w14:paraId="18CC9D48" w14:textId="77777777" w:rsidR="009C69F8" w:rsidRDefault="00653C8A" w:rsidP="007A6091">
      <w:pPr>
        <w:ind w:left="425"/>
        <w:rPr>
          <w:rStyle w:val="Hyperlink"/>
          <w:rFonts w:ascii="Lato" w:hAnsi="Lato" w:cs="Arial"/>
          <w:bCs/>
          <w:i/>
          <w:sz w:val="24"/>
          <w:lang w:val="en-US"/>
        </w:rPr>
      </w:pPr>
      <w:hyperlink r:id="rId18" w:history="1">
        <w:r w:rsidR="009C69F8" w:rsidRPr="009C69F8">
          <w:rPr>
            <w:rStyle w:val="Hyperlink"/>
            <w:rFonts w:ascii="Lato" w:hAnsi="Lato" w:cs="Arial"/>
            <w:bCs/>
            <w:i/>
            <w:sz w:val="24"/>
            <w:lang w:val="en-US"/>
          </w:rPr>
          <w:t>Freedom of Information Act 1982</w:t>
        </w:r>
      </w:hyperlink>
    </w:p>
    <w:p w14:paraId="7CBAA26D" w14:textId="77777777" w:rsidR="00F77E70" w:rsidRDefault="00653C8A" w:rsidP="007A6091">
      <w:pPr>
        <w:ind w:left="425"/>
        <w:rPr>
          <w:rStyle w:val="Hyperlink"/>
          <w:rFonts w:ascii="Lato" w:hAnsi="Lato" w:cs="Arial"/>
          <w:bCs/>
          <w:i/>
          <w:sz w:val="24"/>
          <w:lang w:val="en-US"/>
        </w:rPr>
      </w:pPr>
      <w:hyperlink r:id="rId19" w:history="1">
        <w:r w:rsidR="005C6B9E" w:rsidRPr="00EA6B04">
          <w:rPr>
            <w:rStyle w:val="Hyperlink"/>
            <w:rFonts w:ascii="Lato" w:hAnsi="Lato" w:cs="Arial"/>
            <w:bCs/>
            <w:i/>
            <w:sz w:val="24"/>
            <w:lang w:val="en-US"/>
          </w:rPr>
          <w:t>Privacy Act 1988</w:t>
        </w:r>
      </w:hyperlink>
    </w:p>
    <w:p w14:paraId="1EF6368C" w14:textId="77777777" w:rsidR="00346A3B" w:rsidRDefault="00653C8A" w:rsidP="007A6091">
      <w:pPr>
        <w:ind w:left="425"/>
        <w:rPr>
          <w:rFonts w:ascii="Lato" w:hAnsi="Lato" w:cs="Arial"/>
          <w:bCs/>
          <w:i/>
          <w:sz w:val="24"/>
          <w:lang w:val="en-US"/>
        </w:rPr>
      </w:pPr>
      <w:hyperlink r:id="rId20" w:history="1">
        <w:r w:rsidR="00346A3B" w:rsidRPr="00346A3B">
          <w:rPr>
            <w:rStyle w:val="Hyperlink"/>
            <w:rFonts w:ascii="Lato" w:hAnsi="Lato" w:cs="Arial"/>
            <w:bCs/>
            <w:i/>
            <w:sz w:val="24"/>
            <w:lang w:val="en-US"/>
          </w:rPr>
          <w:t>Privacy Amendment (Notifiable Data Breaches) Act</w:t>
        </w:r>
      </w:hyperlink>
    </w:p>
    <w:p w14:paraId="562187DC" w14:textId="6916D43A" w:rsidR="004B20F1" w:rsidRPr="004B20F1" w:rsidRDefault="00E36F12" w:rsidP="004B20F1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>ACKNOWLEDGEMENTS</w:t>
      </w:r>
    </w:p>
    <w:p w14:paraId="5F65EEBE" w14:textId="77777777" w:rsidR="0078639B" w:rsidRPr="00195D9D" w:rsidRDefault="0078639B" w:rsidP="00B865B3">
      <w:pPr>
        <w:ind w:left="426"/>
        <w:rPr>
          <w:rFonts w:ascii="Lato" w:hAnsi="Lato" w:cs="Arial"/>
          <w:bCs/>
          <w:sz w:val="24"/>
          <w:lang w:val="en-US"/>
        </w:rPr>
      </w:pPr>
    </w:p>
    <w:p w14:paraId="6484D779" w14:textId="77777777" w:rsidR="00CF460B" w:rsidRPr="00CF460B" w:rsidRDefault="00653C8A" w:rsidP="007A6091">
      <w:pPr>
        <w:ind w:left="425"/>
        <w:rPr>
          <w:rFonts w:ascii="Lato" w:hAnsi="Lato" w:cs="Arial"/>
          <w:sz w:val="24"/>
          <w:lang w:val="en-US"/>
        </w:rPr>
      </w:pPr>
      <w:hyperlink r:id="rId21" w:history="1">
        <w:r w:rsidR="00CF460B" w:rsidRPr="00501325">
          <w:rPr>
            <w:rStyle w:val="Hyperlink"/>
            <w:rFonts w:ascii="Lato" w:hAnsi="Lato" w:cs="Arial"/>
            <w:bCs/>
            <w:sz w:val="24"/>
            <w:lang w:val="en-US"/>
          </w:rPr>
          <w:t>Australian Privacy Principles (APP) Privacy Policy</w:t>
        </w:r>
      </w:hyperlink>
      <w:r w:rsidR="00CF460B">
        <w:rPr>
          <w:rFonts w:ascii="Lato" w:hAnsi="Lato" w:cs="Arial"/>
          <w:bCs/>
          <w:sz w:val="24"/>
          <w:lang w:val="en-US"/>
        </w:rPr>
        <w:t xml:space="preserve"> (June 2014) Australian Children’s Education and Care Quality Authority (ACECQA)</w:t>
      </w:r>
    </w:p>
    <w:p w14:paraId="574B1EBD" w14:textId="49FFE851" w:rsidR="00501325" w:rsidRDefault="00653C8A" w:rsidP="007A6091">
      <w:pPr>
        <w:ind w:left="425"/>
        <w:rPr>
          <w:rFonts w:ascii="Lato" w:hAnsi="Lato" w:cs="Arial"/>
          <w:bCs/>
          <w:sz w:val="24"/>
          <w:lang w:val="en-US"/>
        </w:rPr>
      </w:pPr>
      <w:hyperlink r:id="rId22" w:history="1">
        <w:r w:rsidR="00501325" w:rsidRPr="00501325">
          <w:rPr>
            <w:rStyle w:val="Hyperlink"/>
            <w:rFonts w:ascii="Lato" w:hAnsi="Lato" w:cs="Arial"/>
            <w:bCs/>
            <w:sz w:val="24"/>
            <w:lang w:val="en-US"/>
          </w:rPr>
          <w:t>Guide to developing an APP privacy policy</w:t>
        </w:r>
      </w:hyperlink>
      <w:r w:rsidR="00501325">
        <w:rPr>
          <w:rFonts w:ascii="Lato" w:hAnsi="Lato" w:cs="Arial"/>
          <w:bCs/>
          <w:sz w:val="24"/>
          <w:lang w:val="en-US"/>
        </w:rPr>
        <w:t xml:space="preserve"> (May 2014) Office of the Aust</w:t>
      </w:r>
      <w:r w:rsidR="0019688A">
        <w:rPr>
          <w:rFonts w:ascii="Lato" w:hAnsi="Lato" w:cs="Arial"/>
          <w:bCs/>
          <w:sz w:val="24"/>
          <w:lang w:val="en-US"/>
        </w:rPr>
        <w:t>ralian Information Commissioner</w:t>
      </w:r>
    </w:p>
    <w:p w14:paraId="77E71412" w14:textId="46B4ECFB" w:rsidR="00CF460B" w:rsidRDefault="00653C8A" w:rsidP="007A6091">
      <w:pPr>
        <w:ind w:left="425"/>
        <w:rPr>
          <w:rFonts w:ascii="Lato" w:hAnsi="Lato" w:cs="Arial"/>
          <w:bCs/>
          <w:sz w:val="24"/>
          <w:lang w:val="en-US"/>
        </w:rPr>
      </w:pPr>
      <w:hyperlink r:id="rId23" w:history="1">
        <w:r w:rsidR="00CF460B" w:rsidRPr="00501325">
          <w:rPr>
            <w:rStyle w:val="Hyperlink"/>
            <w:rFonts w:ascii="Lato" w:hAnsi="Lato" w:cs="Arial"/>
            <w:bCs/>
            <w:sz w:val="24"/>
            <w:lang w:val="en-US"/>
          </w:rPr>
          <w:t>Privacy fact sheet 17: Australian Privacy Principles</w:t>
        </w:r>
      </w:hyperlink>
      <w:r w:rsidR="00CF460B">
        <w:rPr>
          <w:rFonts w:ascii="Lato" w:hAnsi="Lato" w:cs="Arial"/>
          <w:bCs/>
          <w:sz w:val="24"/>
          <w:lang w:val="en-US"/>
        </w:rPr>
        <w:t xml:space="preserve"> Office of the Aust</w:t>
      </w:r>
      <w:r w:rsidR="0019688A">
        <w:rPr>
          <w:rFonts w:ascii="Lato" w:hAnsi="Lato" w:cs="Arial"/>
          <w:bCs/>
          <w:sz w:val="24"/>
          <w:lang w:val="en-US"/>
        </w:rPr>
        <w:t>ralian Information Commissioner</w:t>
      </w:r>
    </w:p>
    <w:p w14:paraId="76F9E774" w14:textId="77777777" w:rsidR="009B124A" w:rsidRDefault="009B124A">
      <w:pPr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br w:type="page"/>
      </w:r>
    </w:p>
    <w:p w14:paraId="6C314326" w14:textId="16BE0C2E" w:rsidR="00CF460B" w:rsidRDefault="00075F66" w:rsidP="0030214E">
      <w:pPr>
        <w:spacing w:after="120"/>
        <w:rPr>
          <w:rFonts w:ascii="Lato" w:hAnsi="Lato" w:cs="Arial"/>
          <w:b/>
          <w:bCs/>
          <w:sz w:val="24"/>
          <w:lang w:val="en-US"/>
        </w:rPr>
      </w:pPr>
      <w:r>
        <w:rPr>
          <w:rFonts w:ascii="Lato" w:hAnsi="Lato" w:cs="Arial"/>
          <w:b/>
          <w:bCs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16396" wp14:editId="06352DC9">
                <wp:simplePos x="0" y="0"/>
                <wp:positionH relativeFrom="column">
                  <wp:posOffset>5277854</wp:posOffset>
                </wp:positionH>
                <wp:positionV relativeFrom="paragraph">
                  <wp:posOffset>-307135</wp:posOffset>
                </wp:positionV>
                <wp:extent cx="1172046" cy="317090"/>
                <wp:effectExtent l="0" t="0" r="952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046" cy="31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D2950" w14:textId="14984529" w:rsidR="00075F66" w:rsidRPr="00145061" w:rsidRDefault="00075F66">
                            <w:pPr>
                              <w:rPr>
                                <w:sz w:val="24"/>
                              </w:rPr>
                            </w:pPr>
                            <w:r w:rsidRPr="00145061">
                              <w:rPr>
                                <w:sz w:val="24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9163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6pt;margin-top:-24.2pt;width:92.3pt;height:2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" fillcolor="white [3201]" stroked="f" strokeweight=".5pt">
                <v:textbox>
                  <w:txbxContent>
                    <w:p w14:paraId="159D2950" w14:textId="14984529" w:rsidR="00075F66" w:rsidRPr="00145061" w:rsidRDefault="00075F66">
                      <w:pPr>
                        <w:rPr>
                          <w:sz w:val="24"/>
                        </w:rPr>
                      </w:pPr>
                      <w:r w:rsidRPr="00145061">
                        <w:rPr>
                          <w:sz w:val="24"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 w:rsidR="009B124A" w:rsidRPr="001143BA">
        <w:rPr>
          <w:rFonts w:ascii="Lato" w:hAnsi="Lato" w:cs="Arial"/>
          <w:b/>
          <w:bCs/>
          <w:sz w:val="24"/>
          <w:lang w:val="en-US"/>
        </w:rPr>
        <w:t>Disposal Schedule</w:t>
      </w:r>
    </w:p>
    <w:p w14:paraId="38EA0C4E" w14:textId="77777777" w:rsidR="001143BA" w:rsidRDefault="001143BA" w:rsidP="00C62B4B">
      <w:pPr>
        <w:spacing w:after="120"/>
        <w:ind w:left="425"/>
        <w:rPr>
          <w:rFonts w:ascii="Lato" w:hAnsi="Lato" w:cs="Arial"/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092"/>
      </w:tblGrid>
      <w:tr w:rsidR="001143BA" w:rsidRPr="001143BA" w14:paraId="4DD32B73" w14:textId="77777777" w:rsidTr="001D36D0">
        <w:tc>
          <w:tcPr>
            <w:tcW w:w="2547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DDC9" w14:textId="77777777" w:rsidR="001143BA" w:rsidRPr="001143BA" w:rsidRDefault="001D36D0">
            <w:pPr>
              <w:rPr>
                <w:rFonts w:ascii="Lato" w:hAnsi="Lato"/>
                <w:color w:val="000000"/>
                <w:sz w:val="22"/>
                <w:szCs w:val="20"/>
              </w:rPr>
            </w:pPr>
            <w:r>
              <w:rPr>
                <w:rFonts w:ascii="Lato" w:hAnsi="Lato"/>
                <w:color w:val="000000"/>
                <w:sz w:val="22"/>
                <w:szCs w:val="20"/>
              </w:rPr>
              <w:t xml:space="preserve">Disposal </w:t>
            </w:r>
            <w:r w:rsidR="001143BA" w:rsidRPr="001143BA">
              <w:rPr>
                <w:rFonts w:ascii="Lato" w:hAnsi="Lato"/>
                <w:color w:val="000000"/>
                <w:sz w:val="22"/>
                <w:szCs w:val="20"/>
              </w:rPr>
              <w:t>Schedule</w:t>
            </w:r>
          </w:p>
        </w:tc>
        <w:tc>
          <w:tcPr>
            <w:tcW w:w="7092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2C82" w14:textId="77777777" w:rsidR="001143BA" w:rsidRPr="001143BA" w:rsidRDefault="001143BA">
            <w:pPr>
              <w:rPr>
                <w:rFonts w:ascii="Lato" w:hAnsi="Lato"/>
                <w:color w:val="000000"/>
                <w:sz w:val="22"/>
                <w:szCs w:val="20"/>
              </w:rPr>
            </w:pPr>
            <w:r>
              <w:rPr>
                <w:rFonts w:ascii="Lato" w:hAnsi="Lato"/>
                <w:color w:val="000000"/>
                <w:sz w:val="22"/>
                <w:szCs w:val="20"/>
              </w:rPr>
              <w:t>Type of Record</w:t>
            </w:r>
          </w:p>
        </w:tc>
      </w:tr>
      <w:tr w:rsidR="001143BA" w:rsidRPr="001143BA" w14:paraId="0B8D4AB7" w14:textId="77777777" w:rsidTr="001D36D0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CBC5" w14:textId="13E5F9CF" w:rsidR="001143BA" w:rsidRPr="001143BA" w:rsidRDefault="00075F66" w:rsidP="00A43403">
            <w:pPr>
              <w:rPr>
                <w:rFonts w:ascii="Lato" w:hAnsi="Lato"/>
                <w:color w:val="000000"/>
                <w:sz w:val="22"/>
                <w:szCs w:val="20"/>
              </w:rPr>
            </w:pPr>
            <w:r>
              <w:rPr>
                <w:rFonts w:ascii="Lato" w:hAnsi="Lato"/>
                <w:color w:val="000000"/>
                <w:sz w:val="22"/>
                <w:szCs w:val="20"/>
              </w:rPr>
              <w:t>Seven</w:t>
            </w:r>
            <w:r w:rsidRPr="001143BA">
              <w:rPr>
                <w:rFonts w:ascii="Lato" w:hAnsi="Lato"/>
                <w:color w:val="000000"/>
                <w:sz w:val="22"/>
                <w:szCs w:val="20"/>
              </w:rPr>
              <w:t xml:space="preserve"> </w:t>
            </w:r>
            <w:r w:rsidR="00A43403">
              <w:rPr>
                <w:rFonts w:ascii="Lato" w:hAnsi="Lato"/>
                <w:color w:val="000000"/>
                <w:sz w:val="22"/>
                <w:szCs w:val="20"/>
              </w:rPr>
              <w:t>y</w:t>
            </w:r>
            <w:r w:rsidR="001143BA" w:rsidRPr="001143BA">
              <w:rPr>
                <w:rFonts w:ascii="Lato" w:hAnsi="Lato"/>
                <w:color w:val="000000"/>
                <w:sz w:val="22"/>
                <w:szCs w:val="20"/>
              </w:rPr>
              <w:t>ears</w:t>
            </w:r>
            <w:r w:rsidR="001D36D0">
              <w:rPr>
                <w:rFonts w:ascii="Lato" w:hAnsi="Lato"/>
                <w:color w:val="000000"/>
                <w:sz w:val="22"/>
                <w:szCs w:val="20"/>
              </w:rPr>
              <w:t xml:space="preserve"> from creation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1B1D" w14:textId="17F901CD" w:rsidR="0033198B" w:rsidRDefault="001143BA" w:rsidP="0033198B">
            <w:pPr>
              <w:pStyle w:val="Default"/>
              <w:rPr>
                <w:rFonts w:ascii="Lato" w:hAnsi="Lato"/>
                <w:sz w:val="22"/>
                <w:szCs w:val="20"/>
              </w:rPr>
            </w:pPr>
            <w:r w:rsidRPr="001143BA">
              <w:rPr>
                <w:rFonts w:ascii="Lato" w:hAnsi="Lato"/>
                <w:sz w:val="22"/>
                <w:szCs w:val="20"/>
              </w:rPr>
              <w:t>Records documenting the authorisation of authorised offi</w:t>
            </w:r>
            <w:r w:rsidR="007A6091">
              <w:rPr>
                <w:rFonts w:ascii="Lato" w:hAnsi="Lato"/>
                <w:sz w:val="22"/>
                <w:szCs w:val="20"/>
              </w:rPr>
              <w:t xml:space="preserve">cers as required under the </w:t>
            </w:r>
            <w:r w:rsidR="00CB526D" w:rsidRPr="00145061">
              <w:rPr>
                <w:rFonts w:ascii="Lato" w:hAnsi="Lato"/>
                <w:i/>
                <w:sz w:val="22"/>
                <w:szCs w:val="20"/>
              </w:rPr>
              <w:t xml:space="preserve">Privacy </w:t>
            </w:r>
            <w:r w:rsidR="007A6091" w:rsidRPr="00145061">
              <w:rPr>
                <w:rFonts w:ascii="Lato" w:hAnsi="Lato"/>
                <w:i/>
                <w:sz w:val="22"/>
                <w:szCs w:val="20"/>
              </w:rPr>
              <w:t>Act</w:t>
            </w:r>
            <w:r w:rsidR="00CB526D" w:rsidRPr="00145061">
              <w:rPr>
                <w:rFonts w:ascii="Lato" w:hAnsi="Lato"/>
                <w:i/>
                <w:sz w:val="22"/>
                <w:szCs w:val="20"/>
              </w:rPr>
              <w:t xml:space="preserve"> 1988</w:t>
            </w:r>
            <w:r w:rsidR="007A6091">
              <w:rPr>
                <w:rFonts w:ascii="Lato" w:hAnsi="Lato"/>
                <w:sz w:val="22"/>
                <w:szCs w:val="20"/>
              </w:rPr>
              <w:t>.</w:t>
            </w:r>
          </w:p>
          <w:p w14:paraId="1800D325" w14:textId="77777777" w:rsidR="0033198B" w:rsidRDefault="0033198B" w:rsidP="0033198B">
            <w:pPr>
              <w:pStyle w:val="Default"/>
              <w:rPr>
                <w:rFonts w:ascii="Lato" w:hAnsi="Lato"/>
                <w:sz w:val="22"/>
                <w:szCs w:val="20"/>
              </w:rPr>
            </w:pPr>
          </w:p>
          <w:p w14:paraId="72B10157" w14:textId="3DDF9357" w:rsidR="001143BA" w:rsidRPr="001143BA" w:rsidRDefault="006A2B2B" w:rsidP="00500585">
            <w:pPr>
              <w:pStyle w:val="Default"/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>Personal information</w:t>
            </w:r>
            <w:r w:rsidR="001143BA" w:rsidRPr="001143BA">
              <w:rPr>
                <w:rFonts w:ascii="Lato" w:hAnsi="Lato"/>
                <w:sz w:val="22"/>
                <w:szCs w:val="20"/>
              </w:rPr>
              <w:t xml:space="preserve"> may include</w:t>
            </w:r>
            <w:r w:rsidR="00CB526D">
              <w:rPr>
                <w:rFonts w:ascii="Lato" w:hAnsi="Lato"/>
                <w:sz w:val="22"/>
                <w:szCs w:val="20"/>
              </w:rPr>
              <w:t>:</w:t>
            </w:r>
            <w:r w:rsidR="00CB526D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>
              <w:rPr>
                <w:rFonts w:ascii="Lato" w:hAnsi="Lato"/>
                <w:sz w:val="22"/>
                <w:szCs w:val="20"/>
              </w:rPr>
              <w:t>name</w:t>
            </w:r>
            <w:r w:rsidR="00500585">
              <w:rPr>
                <w:rFonts w:ascii="Lato" w:hAnsi="Lato"/>
                <w:sz w:val="22"/>
                <w:szCs w:val="20"/>
              </w:rPr>
              <w:t xml:space="preserve">; </w:t>
            </w:r>
            <w:r>
              <w:rPr>
                <w:rFonts w:ascii="Lato" w:hAnsi="Lato"/>
                <w:sz w:val="22"/>
                <w:szCs w:val="20"/>
              </w:rPr>
              <w:t>date of birth</w:t>
            </w:r>
            <w:r w:rsidR="00500585">
              <w:rPr>
                <w:rFonts w:ascii="Lato" w:hAnsi="Lato"/>
                <w:sz w:val="22"/>
                <w:szCs w:val="20"/>
              </w:rPr>
              <w:t xml:space="preserve">; </w:t>
            </w:r>
            <w:r w:rsidR="0033198B">
              <w:rPr>
                <w:rFonts w:ascii="Lato" w:hAnsi="Lato"/>
                <w:sz w:val="22"/>
                <w:szCs w:val="20"/>
              </w:rPr>
              <w:t>postal address</w:t>
            </w:r>
            <w:r w:rsidR="00500585">
              <w:rPr>
                <w:rFonts w:ascii="Lato" w:hAnsi="Lato"/>
                <w:sz w:val="22"/>
                <w:szCs w:val="20"/>
              </w:rPr>
              <w:t xml:space="preserve">; </w:t>
            </w:r>
            <w:r w:rsidR="0033198B">
              <w:rPr>
                <w:rFonts w:ascii="Lato" w:hAnsi="Lato"/>
                <w:sz w:val="22"/>
                <w:szCs w:val="20"/>
              </w:rPr>
              <w:t>email</w:t>
            </w:r>
            <w:r w:rsidR="00500585">
              <w:rPr>
                <w:rFonts w:ascii="Lato" w:hAnsi="Lato"/>
                <w:sz w:val="22"/>
                <w:szCs w:val="20"/>
              </w:rPr>
              <w:t xml:space="preserve"> address; </w:t>
            </w:r>
            <w:r w:rsidR="0033198B">
              <w:rPr>
                <w:rFonts w:ascii="Lato" w:hAnsi="Lato"/>
                <w:sz w:val="22"/>
                <w:szCs w:val="20"/>
              </w:rPr>
              <w:t>photograph</w:t>
            </w:r>
            <w:r w:rsidR="00500585">
              <w:rPr>
                <w:rFonts w:ascii="Lato" w:hAnsi="Lato"/>
                <w:sz w:val="22"/>
                <w:szCs w:val="20"/>
              </w:rPr>
              <w:t xml:space="preserve">; </w:t>
            </w:r>
            <w:r w:rsidR="001143BA" w:rsidRPr="001143BA">
              <w:rPr>
                <w:rFonts w:ascii="Lato" w:hAnsi="Lato"/>
                <w:sz w:val="22"/>
                <w:szCs w:val="20"/>
              </w:rPr>
              <w:t>returned identity cards</w:t>
            </w:r>
            <w:r w:rsidR="00500585">
              <w:rPr>
                <w:rFonts w:ascii="Lato" w:hAnsi="Lato"/>
                <w:sz w:val="22"/>
                <w:szCs w:val="20"/>
              </w:rPr>
              <w:t xml:space="preserve">; and </w:t>
            </w:r>
            <w:r w:rsidR="0033198B">
              <w:rPr>
                <w:rFonts w:ascii="Lato" w:hAnsi="Lato"/>
                <w:sz w:val="22"/>
                <w:szCs w:val="20"/>
              </w:rPr>
              <w:t>criminal history check.</w:t>
            </w:r>
          </w:p>
        </w:tc>
      </w:tr>
      <w:tr w:rsidR="001143BA" w:rsidRPr="001143BA" w14:paraId="48AA3BBB" w14:textId="77777777" w:rsidTr="001D36D0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F55E" w14:textId="452447F9" w:rsidR="001143BA" w:rsidRPr="001143BA" w:rsidRDefault="00500585">
            <w:pPr>
              <w:rPr>
                <w:rFonts w:ascii="Lato" w:hAnsi="Lato"/>
                <w:color w:val="000000"/>
                <w:sz w:val="22"/>
                <w:szCs w:val="20"/>
              </w:rPr>
            </w:pPr>
            <w:r>
              <w:rPr>
                <w:rFonts w:ascii="Lato" w:hAnsi="Lato"/>
                <w:color w:val="000000"/>
                <w:sz w:val="22"/>
                <w:szCs w:val="20"/>
              </w:rPr>
              <w:t xml:space="preserve">Ten </w:t>
            </w:r>
            <w:r w:rsidR="00A43403">
              <w:rPr>
                <w:rFonts w:ascii="Lato" w:hAnsi="Lato"/>
                <w:color w:val="000000"/>
                <w:sz w:val="22"/>
                <w:szCs w:val="20"/>
              </w:rPr>
              <w:t>years</w:t>
            </w:r>
            <w:r w:rsidR="001D36D0">
              <w:rPr>
                <w:rFonts w:ascii="Lato" w:hAnsi="Lato"/>
                <w:color w:val="000000"/>
                <w:sz w:val="22"/>
                <w:szCs w:val="20"/>
              </w:rPr>
              <w:t xml:space="preserve"> from creation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FB68" w14:textId="1BE9ED5B" w:rsidR="001143BA" w:rsidRPr="001143BA" w:rsidRDefault="001143BA">
            <w:pPr>
              <w:pStyle w:val="Default"/>
              <w:rPr>
                <w:rFonts w:ascii="Lato" w:hAnsi="Lato"/>
                <w:sz w:val="22"/>
                <w:szCs w:val="20"/>
              </w:rPr>
            </w:pPr>
            <w:r w:rsidRPr="001143BA">
              <w:rPr>
                <w:rFonts w:ascii="Lato" w:hAnsi="Lato"/>
                <w:sz w:val="22"/>
                <w:szCs w:val="20"/>
              </w:rPr>
              <w:t>Records documenting the assessment and rating of services under</w:t>
            </w:r>
            <w:r w:rsidR="007A6091">
              <w:rPr>
                <w:rFonts w:ascii="Lato" w:hAnsi="Lato"/>
                <w:sz w:val="22"/>
                <w:szCs w:val="20"/>
              </w:rPr>
              <w:t xml:space="preserve"> the National Quality Standard.</w:t>
            </w:r>
          </w:p>
          <w:p w14:paraId="2415799C" w14:textId="77777777" w:rsidR="006A2B2B" w:rsidRDefault="006A2B2B" w:rsidP="001143BA">
            <w:pPr>
              <w:rPr>
                <w:rFonts w:ascii="Lato" w:hAnsi="Lato"/>
                <w:sz w:val="22"/>
                <w:szCs w:val="20"/>
              </w:rPr>
            </w:pPr>
          </w:p>
          <w:p w14:paraId="66E70B52" w14:textId="45B7BC16" w:rsidR="001143BA" w:rsidRPr="001143BA" w:rsidRDefault="006A2B2B" w:rsidP="00A43403">
            <w:pPr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>Personal information may i</w:t>
            </w:r>
            <w:r w:rsidR="0033198B">
              <w:rPr>
                <w:rFonts w:ascii="Lato" w:hAnsi="Lato"/>
                <w:sz w:val="22"/>
                <w:szCs w:val="20"/>
              </w:rPr>
              <w:t>nclude</w:t>
            </w:r>
            <w:r w:rsidR="00A43403">
              <w:rPr>
                <w:rFonts w:ascii="Lato" w:hAnsi="Lato"/>
                <w:sz w:val="22"/>
                <w:szCs w:val="20"/>
              </w:rPr>
              <w:t>;</w:t>
            </w:r>
            <w:r w:rsidR="001143BA" w:rsidRPr="001143BA">
              <w:rPr>
                <w:rFonts w:ascii="Lato" w:hAnsi="Lato"/>
                <w:sz w:val="22"/>
                <w:szCs w:val="20"/>
              </w:rPr>
              <w:t xml:space="preserve"> photographs, copies of quality improvement plans, applications for reassessment, related correspondence and other related documentation.</w:t>
            </w:r>
          </w:p>
        </w:tc>
      </w:tr>
      <w:tr w:rsidR="001143BA" w:rsidRPr="001143BA" w14:paraId="3C8BCDB7" w14:textId="77777777" w:rsidTr="001D36D0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40D6" w14:textId="784383FD" w:rsidR="001143BA" w:rsidRPr="001143BA" w:rsidRDefault="00500585">
            <w:pPr>
              <w:rPr>
                <w:rFonts w:ascii="Lato" w:hAnsi="Lato"/>
                <w:color w:val="000000"/>
                <w:sz w:val="22"/>
                <w:szCs w:val="20"/>
              </w:rPr>
            </w:pPr>
            <w:r>
              <w:rPr>
                <w:rFonts w:ascii="Lato" w:hAnsi="Lato"/>
                <w:color w:val="000000"/>
                <w:sz w:val="22"/>
                <w:szCs w:val="20"/>
              </w:rPr>
              <w:t xml:space="preserve">Ten </w:t>
            </w:r>
            <w:r w:rsidR="00A43403">
              <w:rPr>
                <w:rFonts w:ascii="Lato" w:hAnsi="Lato"/>
                <w:color w:val="000000"/>
                <w:sz w:val="22"/>
                <w:szCs w:val="20"/>
              </w:rPr>
              <w:t>years</w:t>
            </w:r>
            <w:r w:rsidR="001D36D0">
              <w:rPr>
                <w:rFonts w:ascii="Lato" w:hAnsi="Lato"/>
                <w:color w:val="000000"/>
                <w:sz w:val="22"/>
                <w:szCs w:val="20"/>
              </w:rPr>
              <w:t xml:space="preserve"> from creation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2BA8" w14:textId="1FDEE9B0" w:rsidR="001143BA" w:rsidRPr="001143BA" w:rsidRDefault="001143BA">
            <w:pPr>
              <w:pStyle w:val="Default"/>
              <w:rPr>
                <w:rFonts w:ascii="Lato" w:hAnsi="Lato"/>
                <w:sz w:val="22"/>
                <w:szCs w:val="20"/>
              </w:rPr>
            </w:pPr>
            <w:r w:rsidRPr="001143BA">
              <w:rPr>
                <w:rFonts w:ascii="Lato" w:hAnsi="Lato"/>
                <w:sz w:val="22"/>
                <w:szCs w:val="20"/>
              </w:rPr>
              <w:t>Records documenting investigations undertaken by other agencies into complaints in relation to early childho</w:t>
            </w:r>
            <w:r w:rsidR="007A6091">
              <w:rPr>
                <w:rFonts w:ascii="Lato" w:hAnsi="Lato"/>
                <w:sz w:val="22"/>
                <w:szCs w:val="20"/>
              </w:rPr>
              <w:t>od education and care services.</w:t>
            </w:r>
          </w:p>
          <w:p w14:paraId="141DA4AD" w14:textId="77777777" w:rsidR="00A43403" w:rsidRDefault="00A43403">
            <w:pPr>
              <w:rPr>
                <w:rFonts w:ascii="Lato" w:hAnsi="Lato"/>
                <w:sz w:val="22"/>
                <w:szCs w:val="20"/>
              </w:rPr>
            </w:pPr>
          </w:p>
          <w:p w14:paraId="50432FC1" w14:textId="4A56508C" w:rsidR="001143BA" w:rsidRPr="001143BA" w:rsidRDefault="00A43403" w:rsidP="00500585">
            <w:pPr>
              <w:pStyle w:val="Default"/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>Personal information may i</w:t>
            </w:r>
            <w:r w:rsidRPr="001143BA">
              <w:rPr>
                <w:rFonts w:ascii="Lato" w:hAnsi="Lato"/>
                <w:sz w:val="22"/>
                <w:szCs w:val="20"/>
              </w:rPr>
              <w:t>nclude</w:t>
            </w:r>
            <w:r w:rsidR="00500585">
              <w:rPr>
                <w:rFonts w:ascii="Lato" w:hAnsi="Lato"/>
                <w:sz w:val="22"/>
                <w:szCs w:val="20"/>
              </w:rPr>
              <w:t>: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 w:rsidRPr="001143BA">
              <w:rPr>
                <w:rFonts w:ascii="Lato" w:hAnsi="Lato"/>
                <w:sz w:val="22"/>
                <w:szCs w:val="20"/>
              </w:rPr>
              <w:t>witness statements</w:t>
            </w:r>
            <w:r w:rsidR="00500585">
              <w:rPr>
                <w:rFonts w:ascii="Lato" w:hAnsi="Lato"/>
                <w:sz w:val="22"/>
                <w:szCs w:val="20"/>
              </w:rPr>
              <w:t>;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>
              <w:rPr>
                <w:rFonts w:ascii="Lato" w:hAnsi="Lato"/>
                <w:sz w:val="22"/>
                <w:szCs w:val="20"/>
              </w:rPr>
              <w:t>allegations against an individual</w:t>
            </w:r>
            <w:r w:rsidR="00500585">
              <w:rPr>
                <w:rFonts w:ascii="Lato" w:hAnsi="Lato"/>
                <w:sz w:val="22"/>
                <w:szCs w:val="20"/>
              </w:rPr>
              <w:t xml:space="preserve">; </w:t>
            </w:r>
            <w:r w:rsidRPr="001143BA">
              <w:rPr>
                <w:rFonts w:ascii="Lato" w:hAnsi="Lato"/>
                <w:sz w:val="22"/>
                <w:szCs w:val="20"/>
              </w:rPr>
              <w:t>extracts of documents</w:t>
            </w:r>
            <w:r w:rsidR="00500585">
              <w:rPr>
                <w:rFonts w:ascii="Lato" w:hAnsi="Lato"/>
                <w:sz w:val="22"/>
                <w:szCs w:val="20"/>
              </w:rPr>
              <w:t>;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 w:rsidRPr="001143BA">
              <w:rPr>
                <w:rFonts w:ascii="Lato" w:hAnsi="Lato"/>
                <w:sz w:val="22"/>
                <w:szCs w:val="20"/>
              </w:rPr>
              <w:t>photo</w:t>
            </w:r>
            <w:r>
              <w:rPr>
                <w:rFonts w:ascii="Lato" w:hAnsi="Lato"/>
                <w:sz w:val="22"/>
                <w:szCs w:val="20"/>
              </w:rPr>
              <w:t>graphs</w:t>
            </w:r>
            <w:r w:rsidR="00500585">
              <w:rPr>
                <w:rFonts w:ascii="Lato" w:hAnsi="Lato"/>
                <w:sz w:val="22"/>
                <w:szCs w:val="20"/>
              </w:rPr>
              <w:t>;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>
              <w:rPr>
                <w:rFonts w:ascii="Lato" w:hAnsi="Lato"/>
                <w:sz w:val="22"/>
                <w:szCs w:val="20"/>
              </w:rPr>
              <w:t>medical records</w:t>
            </w:r>
            <w:r w:rsidR="00500585">
              <w:rPr>
                <w:rFonts w:ascii="Lato" w:hAnsi="Lato"/>
                <w:sz w:val="22"/>
                <w:szCs w:val="20"/>
              </w:rPr>
              <w:t>;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 w:rsidRPr="001143BA">
              <w:rPr>
                <w:rFonts w:ascii="Lato" w:hAnsi="Lato"/>
                <w:sz w:val="22"/>
                <w:szCs w:val="20"/>
              </w:rPr>
              <w:t>and other supporting documents.</w:t>
            </w:r>
          </w:p>
        </w:tc>
      </w:tr>
      <w:tr w:rsidR="00021877" w:rsidRPr="001143BA" w14:paraId="1C13CAEF" w14:textId="77777777" w:rsidTr="001D36D0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ADB6" w14:textId="77777777" w:rsidR="00021877" w:rsidRPr="001143BA" w:rsidRDefault="00021877" w:rsidP="00021877">
            <w:pPr>
              <w:rPr>
                <w:rFonts w:ascii="Lato" w:hAnsi="Lato"/>
                <w:color w:val="000000"/>
                <w:sz w:val="22"/>
                <w:szCs w:val="20"/>
              </w:rPr>
            </w:pPr>
            <w:r>
              <w:rPr>
                <w:rFonts w:ascii="Lato" w:hAnsi="Lato"/>
                <w:color w:val="000000"/>
                <w:sz w:val="22"/>
                <w:szCs w:val="20"/>
              </w:rPr>
              <w:t>30 years</w:t>
            </w:r>
            <w:r w:rsidR="001D36D0">
              <w:rPr>
                <w:rFonts w:ascii="Lato" w:hAnsi="Lato"/>
                <w:color w:val="000000"/>
                <w:sz w:val="22"/>
                <w:szCs w:val="20"/>
              </w:rPr>
              <w:t xml:space="preserve"> from creation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FCDB" w14:textId="6C5CDD47" w:rsidR="00021877" w:rsidRDefault="00021877" w:rsidP="00021877">
            <w:pPr>
              <w:pStyle w:val="Default"/>
              <w:rPr>
                <w:rFonts w:ascii="Lato" w:hAnsi="Lato"/>
                <w:sz w:val="22"/>
                <w:szCs w:val="20"/>
              </w:rPr>
            </w:pPr>
            <w:r w:rsidRPr="001143BA">
              <w:rPr>
                <w:rFonts w:ascii="Lato" w:hAnsi="Lato"/>
                <w:sz w:val="22"/>
                <w:szCs w:val="20"/>
              </w:rPr>
              <w:t>Records documenting compliance and monitoring activities such as preschool</w:t>
            </w:r>
            <w:r w:rsidR="007A6091">
              <w:rPr>
                <w:rFonts w:ascii="Lato" w:hAnsi="Lato"/>
                <w:sz w:val="22"/>
                <w:szCs w:val="20"/>
              </w:rPr>
              <w:t>s and early childhood services.</w:t>
            </w:r>
          </w:p>
          <w:p w14:paraId="18CC19F4" w14:textId="77777777" w:rsidR="00021877" w:rsidRPr="001143BA" w:rsidRDefault="00021877" w:rsidP="00021877">
            <w:pPr>
              <w:pStyle w:val="Default"/>
              <w:rPr>
                <w:rFonts w:ascii="Lato" w:hAnsi="Lato"/>
                <w:sz w:val="22"/>
                <w:szCs w:val="20"/>
              </w:rPr>
            </w:pPr>
          </w:p>
          <w:p w14:paraId="690C688D" w14:textId="565A51F3" w:rsidR="00021877" w:rsidRPr="001143BA" w:rsidRDefault="00021877" w:rsidP="00500585">
            <w:pPr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>Personal information may include</w:t>
            </w:r>
            <w:r w:rsidR="00500585">
              <w:rPr>
                <w:rFonts w:ascii="Lato" w:hAnsi="Lato"/>
                <w:sz w:val="22"/>
                <w:szCs w:val="20"/>
              </w:rPr>
              <w:t>: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 w:rsidRPr="001143BA">
              <w:rPr>
                <w:rFonts w:ascii="Lato" w:hAnsi="Lato"/>
                <w:sz w:val="22"/>
                <w:szCs w:val="20"/>
              </w:rPr>
              <w:t>staff probity checks</w:t>
            </w:r>
            <w:r w:rsidR="00500585">
              <w:rPr>
                <w:rFonts w:ascii="Lato" w:hAnsi="Lato"/>
                <w:sz w:val="22"/>
                <w:szCs w:val="20"/>
              </w:rPr>
              <w:t>;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 w:rsidRPr="001143BA">
              <w:rPr>
                <w:rFonts w:ascii="Lato" w:hAnsi="Lato"/>
                <w:sz w:val="22"/>
                <w:szCs w:val="20"/>
              </w:rPr>
              <w:t>evidence of qualifications</w:t>
            </w:r>
            <w:r w:rsidR="00500585">
              <w:rPr>
                <w:rFonts w:ascii="Lato" w:hAnsi="Lato"/>
                <w:sz w:val="22"/>
                <w:szCs w:val="20"/>
              </w:rPr>
              <w:t>;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 w:rsidR="00500585">
              <w:rPr>
                <w:rFonts w:ascii="Lato" w:hAnsi="Lato"/>
                <w:sz w:val="22"/>
                <w:szCs w:val="20"/>
              </w:rPr>
              <w:t xml:space="preserve">Working </w:t>
            </w:r>
            <w:r>
              <w:rPr>
                <w:rFonts w:ascii="Lato" w:hAnsi="Lato"/>
                <w:sz w:val="22"/>
                <w:szCs w:val="20"/>
              </w:rPr>
              <w:t xml:space="preserve">with </w:t>
            </w:r>
            <w:r w:rsidR="00500585">
              <w:rPr>
                <w:rFonts w:ascii="Lato" w:hAnsi="Lato"/>
                <w:sz w:val="22"/>
                <w:szCs w:val="20"/>
              </w:rPr>
              <w:t xml:space="preserve">Children Clearance Notices; </w:t>
            </w:r>
            <w:r w:rsidRPr="001143BA">
              <w:rPr>
                <w:rFonts w:ascii="Lato" w:hAnsi="Lato"/>
                <w:sz w:val="22"/>
                <w:szCs w:val="20"/>
              </w:rPr>
              <w:t>children</w:t>
            </w:r>
            <w:r w:rsidR="00500585">
              <w:rPr>
                <w:rFonts w:ascii="Lato" w:hAnsi="Lato"/>
                <w:sz w:val="22"/>
                <w:szCs w:val="20"/>
              </w:rPr>
              <w:t>’s</w:t>
            </w:r>
            <w:r w:rsidRPr="001143BA">
              <w:rPr>
                <w:rFonts w:ascii="Lato" w:hAnsi="Lato"/>
                <w:sz w:val="22"/>
                <w:szCs w:val="20"/>
              </w:rPr>
              <w:t xml:space="preserve"> attendance records</w:t>
            </w:r>
            <w:r w:rsidR="00500585">
              <w:rPr>
                <w:rFonts w:ascii="Lato" w:hAnsi="Lato"/>
                <w:sz w:val="22"/>
                <w:szCs w:val="20"/>
              </w:rPr>
              <w:t>;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 w:rsidRPr="001143BA">
              <w:rPr>
                <w:rFonts w:ascii="Lato" w:hAnsi="Lato"/>
                <w:sz w:val="22"/>
                <w:szCs w:val="20"/>
              </w:rPr>
              <w:t>parental authorisations</w:t>
            </w:r>
            <w:r w:rsidR="00500585">
              <w:rPr>
                <w:rFonts w:ascii="Lato" w:hAnsi="Lato"/>
                <w:sz w:val="22"/>
                <w:szCs w:val="20"/>
              </w:rPr>
              <w:t>;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 w:rsidRPr="001143BA">
              <w:rPr>
                <w:rFonts w:ascii="Lato" w:hAnsi="Lato"/>
                <w:sz w:val="22"/>
                <w:szCs w:val="20"/>
              </w:rPr>
              <w:t>incidental accident notifications</w:t>
            </w:r>
            <w:r w:rsidR="00500585">
              <w:rPr>
                <w:rFonts w:ascii="Lato" w:hAnsi="Lato"/>
                <w:sz w:val="22"/>
                <w:szCs w:val="20"/>
              </w:rPr>
              <w:t>;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>
              <w:rPr>
                <w:rFonts w:ascii="Lato" w:hAnsi="Lato"/>
                <w:sz w:val="22"/>
                <w:szCs w:val="20"/>
              </w:rPr>
              <w:t>child medical management plans</w:t>
            </w:r>
            <w:r w:rsidR="00500585">
              <w:rPr>
                <w:rFonts w:ascii="Lato" w:hAnsi="Lato"/>
                <w:sz w:val="22"/>
                <w:szCs w:val="20"/>
              </w:rPr>
              <w:t>;</w:t>
            </w:r>
            <w:r w:rsidRPr="001143BA">
              <w:rPr>
                <w:rFonts w:ascii="Lato" w:hAnsi="Lato"/>
                <w:sz w:val="22"/>
                <w:szCs w:val="20"/>
              </w:rPr>
              <w:t xml:space="preserve"> and photographs. </w:t>
            </w:r>
          </w:p>
        </w:tc>
      </w:tr>
      <w:tr w:rsidR="00021877" w:rsidRPr="001143BA" w14:paraId="35B8BBFF" w14:textId="77777777" w:rsidTr="001D36D0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E0E8" w14:textId="77777777" w:rsidR="00021877" w:rsidRPr="001143BA" w:rsidRDefault="00021877" w:rsidP="00021877">
            <w:pPr>
              <w:rPr>
                <w:rFonts w:ascii="Lato" w:hAnsi="Lato"/>
                <w:color w:val="000000"/>
                <w:sz w:val="22"/>
                <w:szCs w:val="20"/>
              </w:rPr>
            </w:pPr>
            <w:r>
              <w:rPr>
                <w:rFonts w:ascii="Lato" w:hAnsi="Lato"/>
                <w:color w:val="000000"/>
                <w:sz w:val="22"/>
                <w:szCs w:val="20"/>
              </w:rPr>
              <w:t>Permanent</w:t>
            </w:r>
          </w:p>
        </w:tc>
        <w:tc>
          <w:tcPr>
            <w:tcW w:w="7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F2F6" w14:textId="6206CA4A" w:rsidR="00021877" w:rsidRDefault="00021877" w:rsidP="00021877">
            <w:pPr>
              <w:pStyle w:val="Default"/>
              <w:rPr>
                <w:rFonts w:ascii="Lato" w:hAnsi="Lato"/>
                <w:sz w:val="22"/>
                <w:szCs w:val="20"/>
              </w:rPr>
            </w:pPr>
            <w:r w:rsidRPr="001143BA">
              <w:rPr>
                <w:rFonts w:ascii="Lato" w:hAnsi="Lato"/>
                <w:sz w:val="22"/>
                <w:szCs w:val="20"/>
              </w:rPr>
              <w:t xml:space="preserve">Records documenting investigations into reports or complaints in relation to early childhood education and care services such as where a child has sustained serious </w:t>
            </w:r>
            <w:r w:rsidR="007A6091">
              <w:rPr>
                <w:rFonts w:ascii="Lato" w:hAnsi="Lato"/>
                <w:sz w:val="22"/>
                <w:szCs w:val="20"/>
              </w:rPr>
              <w:t>injury at a child</w:t>
            </w:r>
            <w:r w:rsidR="007754FE">
              <w:rPr>
                <w:rFonts w:ascii="Lato" w:hAnsi="Lato"/>
                <w:sz w:val="22"/>
                <w:szCs w:val="20"/>
              </w:rPr>
              <w:t xml:space="preserve"> </w:t>
            </w:r>
            <w:r w:rsidR="007A6091">
              <w:rPr>
                <w:rFonts w:ascii="Lato" w:hAnsi="Lato"/>
                <w:sz w:val="22"/>
                <w:szCs w:val="20"/>
              </w:rPr>
              <w:t>care facility.</w:t>
            </w:r>
          </w:p>
          <w:p w14:paraId="33717034" w14:textId="77777777" w:rsidR="00021877" w:rsidRPr="001143BA" w:rsidRDefault="00021877" w:rsidP="00021877">
            <w:pPr>
              <w:pStyle w:val="Default"/>
              <w:rPr>
                <w:rFonts w:ascii="Lato" w:hAnsi="Lato"/>
                <w:sz w:val="22"/>
                <w:szCs w:val="20"/>
              </w:rPr>
            </w:pPr>
          </w:p>
          <w:p w14:paraId="21EA5482" w14:textId="690D145C" w:rsidR="00021877" w:rsidRPr="001143BA" w:rsidRDefault="00021877" w:rsidP="007754FE">
            <w:pPr>
              <w:pStyle w:val="Default"/>
              <w:rPr>
                <w:rFonts w:ascii="Lato" w:hAnsi="Lato"/>
                <w:sz w:val="22"/>
                <w:szCs w:val="20"/>
              </w:rPr>
            </w:pPr>
            <w:r>
              <w:rPr>
                <w:rFonts w:ascii="Lato" w:hAnsi="Lato"/>
                <w:sz w:val="22"/>
                <w:szCs w:val="20"/>
              </w:rPr>
              <w:t>Personal information may i</w:t>
            </w:r>
            <w:r w:rsidRPr="001143BA">
              <w:rPr>
                <w:rFonts w:ascii="Lato" w:hAnsi="Lato"/>
                <w:sz w:val="22"/>
                <w:szCs w:val="20"/>
              </w:rPr>
              <w:t>nclude</w:t>
            </w:r>
            <w:r w:rsidR="00500585">
              <w:rPr>
                <w:rFonts w:ascii="Lato" w:hAnsi="Lato"/>
                <w:sz w:val="22"/>
                <w:szCs w:val="20"/>
              </w:rPr>
              <w:t>: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 w:rsidRPr="001143BA">
              <w:rPr>
                <w:rFonts w:ascii="Lato" w:hAnsi="Lato"/>
                <w:sz w:val="22"/>
                <w:szCs w:val="20"/>
              </w:rPr>
              <w:t>witness statements</w:t>
            </w:r>
            <w:r w:rsidR="00500585">
              <w:rPr>
                <w:rFonts w:ascii="Lato" w:hAnsi="Lato"/>
                <w:sz w:val="22"/>
                <w:szCs w:val="20"/>
              </w:rPr>
              <w:t>;</w:t>
            </w:r>
            <w:r w:rsidR="00500585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>
              <w:rPr>
                <w:rFonts w:ascii="Lato" w:hAnsi="Lato"/>
                <w:sz w:val="22"/>
                <w:szCs w:val="20"/>
              </w:rPr>
              <w:t>allegations against an individual</w:t>
            </w:r>
            <w:r w:rsidR="007754FE">
              <w:rPr>
                <w:rFonts w:ascii="Lato" w:hAnsi="Lato"/>
                <w:sz w:val="22"/>
                <w:szCs w:val="20"/>
              </w:rPr>
              <w:t xml:space="preserve">; </w:t>
            </w:r>
            <w:r w:rsidRPr="001143BA">
              <w:rPr>
                <w:rFonts w:ascii="Lato" w:hAnsi="Lato"/>
                <w:sz w:val="22"/>
                <w:szCs w:val="20"/>
              </w:rPr>
              <w:t>extracts of documents</w:t>
            </w:r>
            <w:r w:rsidR="007754FE">
              <w:rPr>
                <w:rFonts w:ascii="Lato" w:hAnsi="Lato"/>
                <w:sz w:val="22"/>
                <w:szCs w:val="20"/>
              </w:rPr>
              <w:t>;</w:t>
            </w:r>
            <w:r w:rsidR="007754FE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 w:rsidRPr="001143BA">
              <w:rPr>
                <w:rFonts w:ascii="Lato" w:hAnsi="Lato"/>
                <w:sz w:val="22"/>
                <w:szCs w:val="20"/>
              </w:rPr>
              <w:t>photo</w:t>
            </w:r>
            <w:r>
              <w:rPr>
                <w:rFonts w:ascii="Lato" w:hAnsi="Lato"/>
                <w:sz w:val="22"/>
                <w:szCs w:val="20"/>
              </w:rPr>
              <w:t>graphs</w:t>
            </w:r>
            <w:r w:rsidR="007754FE">
              <w:rPr>
                <w:rFonts w:ascii="Lato" w:hAnsi="Lato"/>
                <w:sz w:val="22"/>
                <w:szCs w:val="20"/>
              </w:rPr>
              <w:t>;</w:t>
            </w:r>
            <w:r w:rsidR="007754FE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>
              <w:rPr>
                <w:rFonts w:ascii="Lato" w:hAnsi="Lato"/>
                <w:sz w:val="22"/>
                <w:szCs w:val="20"/>
              </w:rPr>
              <w:t>medical records</w:t>
            </w:r>
            <w:r w:rsidR="007754FE">
              <w:rPr>
                <w:rFonts w:ascii="Lato" w:hAnsi="Lato"/>
                <w:sz w:val="22"/>
                <w:szCs w:val="20"/>
              </w:rPr>
              <w:t>;</w:t>
            </w:r>
            <w:r w:rsidR="007754FE" w:rsidRPr="001143BA">
              <w:rPr>
                <w:rFonts w:ascii="Lato" w:hAnsi="Lato"/>
                <w:sz w:val="22"/>
                <w:szCs w:val="20"/>
              </w:rPr>
              <w:t xml:space="preserve"> </w:t>
            </w:r>
            <w:r w:rsidRPr="001143BA">
              <w:rPr>
                <w:rFonts w:ascii="Lato" w:hAnsi="Lato"/>
                <w:sz w:val="22"/>
                <w:szCs w:val="20"/>
              </w:rPr>
              <w:t>and other supporting documents.</w:t>
            </w:r>
          </w:p>
        </w:tc>
      </w:tr>
    </w:tbl>
    <w:p w14:paraId="0B10E508" w14:textId="77777777" w:rsidR="001143BA" w:rsidRPr="001143BA" w:rsidRDefault="001143BA" w:rsidP="00C62B4B">
      <w:pPr>
        <w:spacing w:after="120"/>
        <w:ind w:left="425"/>
        <w:rPr>
          <w:rFonts w:ascii="Lato" w:hAnsi="Lato" w:cs="Arial"/>
          <w:b/>
          <w:bCs/>
          <w:sz w:val="24"/>
          <w:lang w:val="en-US"/>
        </w:rPr>
      </w:pPr>
    </w:p>
    <w:sectPr w:rsidR="001143BA" w:rsidRPr="001143BA" w:rsidSect="009B4A9D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134" w:right="851" w:bottom="1276" w:left="851" w:header="51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6D72" w14:textId="77777777" w:rsidR="00F7365C" w:rsidRDefault="00F7365C">
      <w:r>
        <w:separator/>
      </w:r>
    </w:p>
  </w:endnote>
  <w:endnote w:type="continuationSeparator" w:id="0">
    <w:p w14:paraId="2DC3BB2B" w14:textId="77777777" w:rsidR="00F7365C" w:rsidRDefault="00F7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0CA9" w14:textId="426D4D61" w:rsidR="00D11054" w:rsidRPr="005B6284" w:rsidRDefault="00D11054" w:rsidP="00551AFE">
    <w:pPr>
      <w:pStyle w:val="Footer"/>
      <w:tabs>
        <w:tab w:val="left" w:pos="-2410"/>
        <w:tab w:val="right" w:pos="10204"/>
      </w:tabs>
      <w:ind w:left="0"/>
    </w:pPr>
    <w:r w:rsidRPr="00513404">
      <w:t xml:space="preserve">Page </w:t>
    </w:r>
    <w:r w:rsidR="000D159E">
      <w:fldChar w:fldCharType="begin"/>
    </w:r>
    <w:r w:rsidR="000D159E">
      <w:instrText xml:space="preserve"> PAGE </w:instrText>
    </w:r>
    <w:r w:rsidR="000D159E">
      <w:fldChar w:fldCharType="separate"/>
    </w:r>
    <w:r w:rsidR="00653C8A">
      <w:rPr>
        <w:noProof/>
      </w:rPr>
      <w:t>6</w:t>
    </w:r>
    <w:r w:rsidR="000D159E">
      <w:rPr>
        <w:noProof/>
      </w:rPr>
      <w:fldChar w:fldCharType="end"/>
    </w:r>
    <w:r>
      <w:t xml:space="preserve"> of </w:t>
    </w:r>
    <w:r w:rsidR="00E43555">
      <w:rPr>
        <w:noProof/>
      </w:rPr>
      <w:fldChar w:fldCharType="begin"/>
    </w:r>
    <w:r w:rsidR="00E43555">
      <w:rPr>
        <w:noProof/>
      </w:rPr>
      <w:instrText xml:space="preserve"> NUMPAGES  </w:instrText>
    </w:r>
    <w:r w:rsidR="00E43555">
      <w:rPr>
        <w:noProof/>
      </w:rPr>
      <w:fldChar w:fldCharType="separate"/>
    </w:r>
    <w:r w:rsidR="00653C8A">
      <w:rPr>
        <w:noProof/>
      </w:rPr>
      <w:t>6</w:t>
    </w:r>
    <w:r w:rsidR="00E43555">
      <w:rPr>
        <w:noProof/>
      </w:rPr>
      <w:fldChar w:fldCharType="end"/>
    </w:r>
    <w:r>
      <w:rPr>
        <w:b/>
        <w:sz w:val="24"/>
      </w:rPr>
      <w:tab/>
    </w:r>
    <w:r w:rsidR="000D159E">
      <w:rPr>
        <w:sz w:val="24"/>
      </w:rPr>
      <w:t>www.education</w:t>
    </w:r>
    <w:r w:rsidR="000D159E" w:rsidRPr="003D1153">
      <w:rPr>
        <w:sz w:val="24"/>
      </w:rPr>
      <w:t>.nt.gov.au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30ED" w14:textId="13084B81" w:rsidR="00D11054" w:rsidRPr="007C1A21" w:rsidRDefault="00D11054" w:rsidP="005B6284">
    <w:pPr>
      <w:pStyle w:val="Footer"/>
      <w:tabs>
        <w:tab w:val="left" w:pos="-2410"/>
      </w:tabs>
      <w:ind w:left="0"/>
      <w:rPr>
        <w:rFonts w:ascii="Lato" w:hAnsi="Lato"/>
      </w:rPr>
    </w:pPr>
    <w:r w:rsidRPr="007C1A21">
      <w:rPr>
        <w:rFonts w:ascii="Lato" w:hAnsi="Lato"/>
      </w:rPr>
      <w:t xml:space="preserve">Page </w:t>
    </w:r>
    <w:r w:rsidR="002C47FB" w:rsidRPr="007C1A21">
      <w:rPr>
        <w:rFonts w:ascii="Lato" w:hAnsi="Lato"/>
        <w:b/>
        <w:sz w:val="24"/>
      </w:rPr>
      <w:fldChar w:fldCharType="begin"/>
    </w:r>
    <w:r w:rsidRPr="007C1A21">
      <w:rPr>
        <w:rFonts w:ascii="Lato" w:hAnsi="Lato"/>
        <w:b/>
      </w:rPr>
      <w:instrText xml:space="preserve"> PAGE </w:instrText>
    </w:r>
    <w:r w:rsidR="002C47FB" w:rsidRPr="007C1A21">
      <w:rPr>
        <w:rFonts w:ascii="Lato" w:hAnsi="Lato"/>
        <w:b/>
        <w:sz w:val="24"/>
      </w:rPr>
      <w:fldChar w:fldCharType="separate"/>
    </w:r>
    <w:r w:rsidR="00653C8A">
      <w:rPr>
        <w:rFonts w:ascii="Lato" w:hAnsi="Lato"/>
        <w:b/>
        <w:noProof/>
      </w:rPr>
      <w:t>1</w:t>
    </w:r>
    <w:r w:rsidR="002C47FB" w:rsidRPr="007C1A21">
      <w:rPr>
        <w:rFonts w:ascii="Lato" w:hAnsi="Lato"/>
        <w:b/>
        <w:sz w:val="24"/>
      </w:rPr>
      <w:fldChar w:fldCharType="end"/>
    </w:r>
    <w:r w:rsidRPr="007C1A21">
      <w:rPr>
        <w:rFonts w:ascii="Lato" w:hAnsi="Lato"/>
      </w:rPr>
      <w:t xml:space="preserve"> of </w:t>
    </w:r>
    <w:r w:rsidR="002C47FB" w:rsidRPr="007C1A21">
      <w:rPr>
        <w:rFonts w:ascii="Lato" w:hAnsi="Lato"/>
        <w:b/>
        <w:sz w:val="24"/>
      </w:rPr>
      <w:fldChar w:fldCharType="begin"/>
    </w:r>
    <w:r w:rsidRPr="007C1A21">
      <w:rPr>
        <w:rFonts w:ascii="Lato" w:hAnsi="Lato"/>
        <w:b/>
      </w:rPr>
      <w:instrText xml:space="preserve"> NUMPAGES  </w:instrText>
    </w:r>
    <w:r w:rsidR="002C47FB" w:rsidRPr="007C1A21">
      <w:rPr>
        <w:rFonts w:ascii="Lato" w:hAnsi="Lato"/>
        <w:b/>
        <w:sz w:val="24"/>
      </w:rPr>
      <w:fldChar w:fldCharType="separate"/>
    </w:r>
    <w:r w:rsidR="00653C8A">
      <w:rPr>
        <w:rFonts w:ascii="Lato" w:hAnsi="Lato"/>
        <w:b/>
        <w:noProof/>
      </w:rPr>
      <w:t>6</w:t>
    </w:r>
    <w:r w:rsidR="002C47FB" w:rsidRPr="007C1A21">
      <w:rPr>
        <w:rFonts w:ascii="Lato" w:hAnsi="Lato"/>
        <w:b/>
        <w:sz w:val="24"/>
      </w:rPr>
      <w:fldChar w:fldCharType="end"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sz w:val="24"/>
      </w:rPr>
      <w:t>www.education</w:t>
    </w:r>
    <w:r w:rsidRPr="007C1A21">
      <w:rPr>
        <w:rFonts w:ascii="Lato" w:hAnsi="Lato"/>
        <w:sz w:val="24"/>
      </w:rPr>
      <w:t>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A50FB" w14:textId="77777777" w:rsidR="00F7365C" w:rsidRDefault="00F7365C">
      <w:r>
        <w:separator/>
      </w:r>
    </w:p>
  </w:footnote>
  <w:footnote w:type="continuationSeparator" w:id="0">
    <w:p w14:paraId="26BB4248" w14:textId="77777777" w:rsidR="00F7365C" w:rsidRDefault="00F7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DEC4" w14:textId="00A33774" w:rsidR="00D11054" w:rsidRDefault="009D417B">
    <w:pPr>
      <w:spacing w:before="120" w:after="120"/>
      <w:ind w:left="-284"/>
      <w:rPr>
        <w:b/>
        <w:bCs/>
        <w:iCs/>
        <w:color w:val="002868"/>
        <w:lang w:val="en-US"/>
      </w:rPr>
    </w:pPr>
    <w:r>
      <w:rPr>
        <w:b/>
        <w:bCs/>
        <w:iCs/>
        <w:color w:val="002868"/>
        <w:lang w:val="en-US"/>
      </w:rPr>
      <w:t>QECNT</w:t>
    </w:r>
    <w:r w:rsidR="00D11054">
      <w:rPr>
        <w:b/>
        <w:bCs/>
        <w:iCs/>
        <w:color w:val="002868"/>
        <w:lang w:val="en-US"/>
      </w:rPr>
      <w:t xml:space="preserve"> Policy: </w:t>
    </w:r>
    <w:r w:rsidRPr="005D4FAB">
      <w:rPr>
        <w:b/>
        <w:bCs/>
        <w:iCs/>
        <w:color w:val="002868"/>
        <w:lang w:val="en-US"/>
      </w:rPr>
      <w:t>Australian Privacy Principles Privacy Policy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8E43" w14:textId="030AB32D" w:rsidR="00D11054" w:rsidRDefault="00551AFE" w:rsidP="000846C2">
    <w:pPr>
      <w:tabs>
        <w:tab w:val="left" w:pos="8080"/>
      </w:tabs>
      <w:rPr>
        <w:color w:val="FFFFFF"/>
      </w:rPr>
    </w:pPr>
    <w:r>
      <w:rPr>
        <w:noProof/>
        <w:lang w:eastAsia="en-AU"/>
      </w:rPr>
      <w:drawing>
        <wp:anchor distT="114300" distB="114300" distL="114300" distR="114300" simplePos="0" relativeHeight="251657216" behindDoc="1" locked="0" layoutInCell="0" allowOverlap="1" wp14:anchorId="334793F1" wp14:editId="5C036595">
          <wp:simplePos x="0" y="0"/>
          <wp:positionH relativeFrom="margin">
            <wp:align>left</wp:align>
          </wp:positionH>
          <wp:positionV relativeFrom="page">
            <wp:posOffset>126365</wp:posOffset>
          </wp:positionV>
          <wp:extent cx="2169160" cy="701040"/>
          <wp:effectExtent l="0" t="0" r="0" b="381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8A8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95CE797" wp14:editId="4C2D32E5">
          <wp:simplePos x="0" y="0"/>
          <wp:positionH relativeFrom="column">
            <wp:posOffset>4733925</wp:posOffset>
          </wp:positionH>
          <wp:positionV relativeFrom="page">
            <wp:posOffset>9525</wp:posOffset>
          </wp:positionV>
          <wp:extent cx="447675" cy="857250"/>
          <wp:effectExtent l="0" t="0" r="9525" b="0"/>
          <wp:wrapSquare wrapText="bothSides"/>
          <wp:docPr id="6" name="Picture 90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6C2">
      <w:rPr>
        <w:color w:val="FFFFFF"/>
      </w:rPr>
      <w:tab/>
    </w:r>
  </w:p>
  <w:tbl>
    <w:tblPr>
      <w:tblpPr w:vertAnchor="page" w:tblpXSpec="center" w:tblpY="1702"/>
      <w:tblOverlap w:val="never"/>
      <w:tblW w:w="105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5386"/>
      <w:gridCol w:w="2009"/>
      <w:gridCol w:w="992"/>
    </w:tblGrid>
    <w:tr w:rsidR="00D11054" w14:paraId="69A2D381" w14:textId="77777777" w:rsidTr="00195D9D">
      <w:trPr>
        <w:cantSplit/>
        <w:trHeight w:hRule="exact" w:val="680"/>
      </w:trPr>
      <w:tc>
        <w:tcPr>
          <w:tcW w:w="10514" w:type="dxa"/>
          <w:gridSpan w:val="4"/>
          <w:vAlign w:val="center"/>
        </w:tcPr>
        <w:p w14:paraId="225673BD" w14:textId="77777777" w:rsidR="00D11054" w:rsidRPr="00195D9D" w:rsidRDefault="00551AFE">
          <w:pPr>
            <w:pStyle w:val="BannerBig"/>
            <w:rPr>
              <w:rFonts w:ascii="Lato Black" w:hAnsi="Lato Black"/>
              <w:color w:val="002868"/>
              <w:sz w:val="46"/>
              <w:szCs w:val="46"/>
            </w:rPr>
          </w:pPr>
          <w:r>
            <w:rPr>
              <w:rFonts w:ascii="Lato Black" w:hAnsi="Lato Black"/>
              <w:color w:val="002868"/>
              <w:sz w:val="46"/>
              <w:szCs w:val="46"/>
            </w:rPr>
            <w:t xml:space="preserve">QECNT </w:t>
          </w:r>
          <w:r w:rsidR="00D11054" w:rsidRPr="00195D9D">
            <w:rPr>
              <w:rFonts w:ascii="Lato Black" w:hAnsi="Lato Black"/>
              <w:color w:val="002868"/>
              <w:sz w:val="46"/>
              <w:szCs w:val="46"/>
            </w:rPr>
            <w:t>POLICY</w:t>
          </w:r>
        </w:p>
      </w:tc>
    </w:tr>
    <w:tr w:rsidR="00D11054" w14:paraId="51989D0F" w14:textId="77777777" w:rsidTr="00195D9D">
      <w:trPr>
        <w:cantSplit/>
        <w:trHeight w:val="794"/>
      </w:trPr>
      <w:tc>
        <w:tcPr>
          <w:tcW w:w="10514" w:type="dxa"/>
          <w:gridSpan w:val="4"/>
          <w:vAlign w:val="center"/>
        </w:tcPr>
        <w:p w14:paraId="2698DE65" w14:textId="53D92F6B" w:rsidR="00D11054" w:rsidRPr="00195D9D" w:rsidRDefault="009D417B" w:rsidP="000E10A9">
          <w:pPr>
            <w:pStyle w:val="PolicyTitle"/>
            <w:rPr>
              <w:rFonts w:ascii="Lato" w:hAnsi="Lato"/>
            </w:rPr>
          </w:pPr>
          <w:r>
            <w:rPr>
              <w:rFonts w:ascii="Lato" w:hAnsi="Lato"/>
            </w:rPr>
            <w:t>A</w:t>
          </w:r>
          <w:r w:rsidR="00134F5D">
            <w:rPr>
              <w:rFonts w:ascii="Lato" w:hAnsi="Lato"/>
            </w:rPr>
            <w:t>USTRALIAN</w:t>
          </w:r>
          <w:r>
            <w:rPr>
              <w:rFonts w:ascii="Lato" w:hAnsi="Lato"/>
            </w:rPr>
            <w:t xml:space="preserve"> PRIVACY PRINCIPLES </w:t>
          </w:r>
          <w:r w:rsidR="00EA6B04">
            <w:rPr>
              <w:rFonts w:ascii="Lato" w:hAnsi="Lato"/>
            </w:rPr>
            <w:t>PRIVACY POLICY</w:t>
          </w:r>
        </w:p>
      </w:tc>
    </w:tr>
    <w:tr w:rsidR="0084762A" w14:paraId="18784DCC" w14:textId="77777777" w:rsidTr="00195D9D">
      <w:trPr>
        <w:cantSplit/>
        <w:trHeight w:val="284"/>
      </w:trPr>
      <w:tc>
        <w:tcPr>
          <w:tcW w:w="2127" w:type="dxa"/>
          <w:vAlign w:val="center"/>
        </w:tcPr>
        <w:p w14:paraId="66CE3684" w14:textId="77777777" w:rsidR="0084762A" w:rsidRPr="00195D9D" w:rsidRDefault="0084762A" w:rsidP="0084762A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Effective Date:</w:t>
          </w:r>
        </w:p>
      </w:tc>
      <w:tc>
        <w:tcPr>
          <w:tcW w:w="5386" w:type="dxa"/>
          <w:vAlign w:val="center"/>
        </w:tcPr>
        <w:p w14:paraId="100E5FA4" w14:textId="45AD2D87" w:rsidR="0084762A" w:rsidRPr="00195D9D" w:rsidRDefault="001764D5" w:rsidP="0084762A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August</w:t>
          </w:r>
          <w:r w:rsidR="00C70A17">
            <w:rPr>
              <w:rFonts w:ascii="Lato" w:hAnsi="Lato"/>
              <w:sz w:val="22"/>
              <w:szCs w:val="22"/>
            </w:rPr>
            <w:t xml:space="preserve"> 2018</w:t>
          </w:r>
        </w:p>
      </w:tc>
      <w:tc>
        <w:tcPr>
          <w:tcW w:w="3001" w:type="dxa"/>
          <w:gridSpan w:val="2"/>
          <w:vAlign w:val="center"/>
        </w:tcPr>
        <w:p w14:paraId="1277C975" w14:textId="77777777" w:rsidR="0084762A" w:rsidRPr="00195D9D" w:rsidRDefault="00554578" w:rsidP="0084762A">
          <w:pPr>
            <w:pStyle w:val="Header"/>
            <w:rPr>
              <w:rFonts w:ascii="Lato" w:hAnsi="Lato"/>
              <w:sz w:val="22"/>
              <w:szCs w:val="22"/>
              <w:lang w:val="en-US"/>
            </w:rPr>
          </w:pPr>
          <w:r>
            <w:rPr>
              <w:rFonts w:ascii="Lato" w:hAnsi="Lato"/>
              <w:sz w:val="22"/>
              <w:szCs w:val="22"/>
            </w:rPr>
            <w:t xml:space="preserve">DOE </w:t>
          </w:r>
          <w:r w:rsidR="0084762A" w:rsidRPr="00195D9D">
            <w:rPr>
              <w:rFonts w:ascii="Lato" w:hAnsi="Lato"/>
              <w:sz w:val="22"/>
              <w:szCs w:val="22"/>
            </w:rPr>
            <w:t xml:space="preserve">File: </w:t>
          </w:r>
          <w:r>
            <w:rPr>
              <w:rFonts w:ascii="Lato" w:hAnsi="Lato"/>
              <w:sz w:val="22"/>
              <w:szCs w:val="22"/>
            </w:rPr>
            <w:t>EC2018/174</w:t>
          </w:r>
        </w:p>
      </w:tc>
    </w:tr>
    <w:tr w:rsidR="0084762A" w14:paraId="16512261" w14:textId="77777777" w:rsidTr="00CB0C32">
      <w:trPr>
        <w:cantSplit/>
        <w:trHeight w:val="284"/>
      </w:trPr>
      <w:tc>
        <w:tcPr>
          <w:tcW w:w="2127" w:type="dxa"/>
          <w:vAlign w:val="center"/>
        </w:tcPr>
        <w:p w14:paraId="5A4D38BD" w14:textId="77777777" w:rsidR="0084762A" w:rsidRPr="00195D9D" w:rsidRDefault="00554578" w:rsidP="0084762A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Review Date:</w:t>
          </w:r>
        </w:p>
      </w:tc>
      <w:tc>
        <w:tcPr>
          <w:tcW w:w="5386" w:type="dxa"/>
          <w:vAlign w:val="center"/>
        </w:tcPr>
        <w:p w14:paraId="5F869C40" w14:textId="691614C7" w:rsidR="0084762A" w:rsidRPr="00195D9D" w:rsidRDefault="001764D5" w:rsidP="0084762A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August</w:t>
          </w:r>
          <w:r w:rsidR="00554578">
            <w:rPr>
              <w:rFonts w:ascii="Lato" w:hAnsi="Lato"/>
              <w:sz w:val="22"/>
              <w:szCs w:val="22"/>
            </w:rPr>
            <w:t xml:space="preserve"> 2021</w:t>
          </w:r>
        </w:p>
      </w:tc>
      <w:tc>
        <w:tcPr>
          <w:tcW w:w="2009" w:type="dxa"/>
          <w:vAlign w:val="center"/>
        </w:tcPr>
        <w:p w14:paraId="4A252B2D" w14:textId="77777777" w:rsidR="0084762A" w:rsidRPr="00195D9D" w:rsidRDefault="0084762A" w:rsidP="00554578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EDOC</w:t>
          </w:r>
          <w:r w:rsidR="00554578">
            <w:rPr>
              <w:rFonts w:ascii="Lato" w:hAnsi="Lato"/>
              <w:sz w:val="22"/>
              <w:szCs w:val="22"/>
            </w:rPr>
            <w:t>2018/61086</w:t>
          </w:r>
        </w:p>
      </w:tc>
      <w:tc>
        <w:tcPr>
          <w:tcW w:w="992" w:type="dxa"/>
        </w:tcPr>
        <w:p w14:paraId="0EF634B8" w14:textId="77777777" w:rsidR="0084762A" w:rsidRPr="00195D9D" w:rsidRDefault="0084762A" w:rsidP="0084762A">
          <w:pPr>
            <w:pStyle w:val="Header"/>
            <w:rPr>
              <w:rFonts w:ascii="Lato" w:hAnsi="Lato"/>
              <w:sz w:val="22"/>
              <w:szCs w:val="22"/>
            </w:rPr>
          </w:pPr>
        </w:p>
      </w:tc>
    </w:tr>
    <w:tr w:rsidR="0084762A" w14:paraId="6545AC87" w14:textId="77777777" w:rsidTr="00195D9D">
      <w:trPr>
        <w:cantSplit/>
        <w:trHeight w:val="284"/>
      </w:trPr>
      <w:tc>
        <w:tcPr>
          <w:tcW w:w="2127" w:type="dxa"/>
          <w:vAlign w:val="center"/>
        </w:tcPr>
        <w:p w14:paraId="41A0AB2B" w14:textId="77777777" w:rsidR="0084762A" w:rsidRPr="00195D9D" w:rsidRDefault="0084762A" w:rsidP="0084762A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Target Audience:</w:t>
          </w:r>
        </w:p>
      </w:tc>
      <w:tc>
        <w:tcPr>
          <w:tcW w:w="5386" w:type="dxa"/>
          <w:vAlign w:val="center"/>
        </w:tcPr>
        <w:p w14:paraId="4BD378D9" w14:textId="77777777" w:rsidR="0084762A" w:rsidRPr="00195D9D" w:rsidRDefault="00EA6B04" w:rsidP="00EA6B04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 xml:space="preserve">QECNT </w:t>
          </w:r>
          <w:r w:rsidR="0084762A" w:rsidRPr="00195D9D">
            <w:rPr>
              <w:rFonts w:ascii="Lato" w:hAnsi="Lato"/>
              <w:sz w:val="22"/>
              <w:szCs w:val="22"/>
            </w:rPr>
            <w:t>Staff/Parents/</w:t>
          </w:r>
          <w:r>
            <w:rPr>
              <w:rFonts w:ascii="Lato" w:hAnsi="Lato"/>
              <w:sz w:val="22"/>
              <w:szCs w:val="22"/>
            </w:rPr>
            <w:t>Providers and Services</w:t>
          </w:r>
        </w:p>
      </w:tc>
      <w:tc>
        <w:tcPr>
          <w:tcW w:w="3001" w:type="dxa"/>
          <w:gridSpan w:val="2"/>
          <w:vAlign w:val="center"/>
        </w:tcPr>
        <w:p w14:paraId="0ACFE9B6" w14:textId="77777777" w:rsidR="0084762A" w:rsidRPr="00195D9D" w:rsidRDefault="0084762A" w:rsidP="0084762A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Version Number:</w:t>
          </w:r>
          <w:r w:rsidR="00C70A17">
            <w:rPr>
              <w:rFonts w:ascii="Lato" w:hAnsi="Lato"/>
              <w:sz w:val="22"/>
              <w:szCs w:val="22"/>
            </w:rPr>
            <w:t xml:space="preserve"> 1.0</w:t>
          </w:r>
        </w:p>
      </w:tc>
    </w:tr>
  </w:tbl>
  <w:p w14:paraId="3CF8A6D6" w14:textId="77777777" w:rsidR="000846C2" w:rsidRDefault="000818A8" w:rsidP="000846C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064704" wp14:editId="74DF5DC2">
              <wp:simplePos x="0" y="0"/>
              <wp:positionH relativeFrom="page">
                <wp:posOffset>5765800</wp:posOffset>
              </wp:positionH>
              <wp:positionV relativeFrom="page">
                <wp:posOffset>476885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7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CDEAD" w14:textId="77777777" w:rsidR="000846C2" w:rsidRDefault="000846C2" w:rsidP="000846C2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14:paraId="46976EC9" w14:textId="77777777" w:rsidR="000846C2" w:rsidRDefault="000846C2" w:rsidP="000846C2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64704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6" type="#_x0000_t202" style="position:absolute;margin-left:454pt;margin-top:37.55pt;width:124pt;height:2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" filled="f" stroked="f">
              <v:textbox inset="0,0,0,0">
                <w:txbxContent>
                  <w:p w14:paraId="381CDEAD" w14:textId="77777777" w:rsidR="000846C2" w:rsidRDefault="000846C2" w:rsidP="000846C2">
                    <w:pPr>
                      <w:pStyle w:val="Departmentof"/>
                    </w:pPr>
                    <w:r>
                      <w:t>Department of</w:t>
                    </w:r>
                  </w:p>
                  <w:p w14:paraId="46976EC9" w14:textId="77777777" w:rsidR="000846C2" w:rsidRDefault="000846C2" w:rsidP="000846C2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2A2539E2" w14:textId="77777777" w:rsidR="000846C2" w:rsidRDefault="000846C2" w:rsidP="000846C2">
    <w:pPr>
      <w:pStyle w:val="Header"/>
    </w:pPr>
  </w:p>
  <w:p w14:paraId="712A5A48" w14:textId="77777777" w:rsidR="000846C2" w:rsidRDefault="000846C2" w:rsidP="000846C2">
    <w:pPr>
      <w:pStyle w:val="Header"/>
    </w:pPr>
  </w:p>
  <w:p w14:paraId="00D66B6E" w14:textId="77777777" w:rsidR="000846C2" w:rsidRDefault="000846C2" w:rsidP="000846C2">
    <w:pPr>
      <w:pStyle w:val="Header"/>
      <w:tabs>
        <w:tab w:val="left" w:pos="7515"/>
      </w:tabs>
    </w:pPr>
    <w:r>
      <w:tab/>
    </w:r>
  </w:p>
  <w:p w14:paraId="3CE40466" w14:textId="77777777" w:rsidR="00D11054" w:rsidRDefault="00D11054">
    <w:pPr>
      <w:pStyle w:val="Header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CBCA6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0CFCB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7D3F6E"/>
    <w:multiLevelType w:val="hybridMultilevel"/>
    <w:tmpl w:val="83F0EC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5757F"/>
    <w:multiLevelType w:val="hybridMultilevel"/>
    <w:tmpl w:val="B830C0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CDA"/>
    <w:multiLevelType w:val="multilevel"/>
    <w:tmpl w:val="ED86C790"/>
    <w:numStyleLink w:val="Style5"/>
  </w:abstractNum>
  <w:abstractNum w:abstractNumId="5" w15:restartNumberingAfterBreak="0">
    <w:nsid w:val="08B3716C"/>
    <w:multiLevelType w:val="hybridMultilevel"/>
    <w:tmpl w:val="5E4640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192BCD"/>
    <w:multiLevelType w:val="hybridMultilevel"/>
    <w:tmpl w:val="0F52FC9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13701"/>
    <w:multiLevelType w:val="hybridMultilevel"/>
    <w:tmpl w:val="B71C63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C430A"/>
    <w:multiLevelType w:val="multilevel"/>
    <w:tmpl w:val="CF42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D7F05A4"/>
    <w:multiLevelType w:val="hybridMultilevel"/>
    <w:tmpl w:val="08E24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2D2202"/>
    <w:multiLevelType w:val="hybridMultilevel"/>
    <w:tmpl w:val="9D846B2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997"/>
    <w:multiLevelType w:val="multilevel"/>
    <w:tmpl w:val="CF42C9B4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945550"/>
    <w:multiLevelType w:val="hybridMultilevel"/>
    <w:tmpl w:val="3B16420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A6B10"/>
    <w:multiLevelType w:val="hybridMultilevel"/>
    <w:tmpl w:val="0E7A9A0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74C730D"/>
    <w:multiLevelType w:val="hybridMultilevel"/>
    <w:tmpl w:val="C2DE5FF8"/>
    <w:lvl w:ilvl="0" w:tplc="0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A1379CA"/>
    <w:multiLevelType w:val="multilevel"/>
    <w:tmpl w:val="1ECCF954"/>
    <w:numStyleLink w:val="Style3"/>
  </w:abstractNum>
  <w:abstractNum w:abstractNumId="16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A55A4"/>
    <w:multiLevelType w:val="multilevel"/>
    <w:tmpl w:val="88DE336E"/>
    <w:styleLink w:val="Style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3B17866"/>
    <w:multiLevelType w:val="multilevel"/>
    <w:tmpl w:val="1114A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CE4D4D"/>
    <w:multiLevelType w:val="hybridMultilevel"/>
    <w:tmpl w:val="6E7E6AF0"/>
    <w:lvl w:ilvl="0" w:tplc="0C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0" w15:restartNumberingAfterBreak="0">
    <w:nsid w:val="27F05E45"/>
    <w:multiLevelType w:val="multilevel"/>
    <w:tmpl w:val="CC883212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2C377C"/>
    <w:multiLevelType w:val="multilevel"/>
    <w:tmpl w:val="CFF43DA2"/>
    <w:numStyleLink w:val="Style7"/>
  </w:abstractNum>
  <w:abstractNum w:abstractNumId="22" w15:restartNumberingAfterBreak="0">
    <w:nsid w:val="2B4C4D49"/>
    <w:multiLevelType w:val="hybridMultilevel"/>
    <w:tmpl w:val="2B70E5CC"/>
    <w:lvl w:ilvl="0" w:tplc="6B3AF0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428CC4">
      <w:numFmt w:val="none"/>
      <w:lvlText w:val=""/>
      <w:lvlJc w:val="left"/>
      <w:pPr>
        <w:tabs>
          <w:tab w:val="num" w:pos="360"/>
        </w:tabs>
      </w:pPr>
    </w:lvl>
    <w:lvl w:ilvl="2" w:tplc="BF50003A">
      <w:numFmt w:val="none"/>
      <w:lvlText w:val=""/>
      <w:lvlJc w:val="left"/>
      <w:pPr>
        <w:tabs>
          <w:tab w:val="num" w:pos="360"/>
        </w:tabs>
      </w:pPr>
    </w:lvl>
    <w:lvl w:ilvl="3" w:tplc="23ACF7D0">
      <w:numFmt w:val="none"/>
      <w:lvlText w:val=""/>
      <w:lvlJc w:val="left"/>
      <w:pPr>
        <w:tabs>
          <w:tab w:val="num" w:pos="360"/>
        </w:tabs>
      </w:pPr>
    </w:lvl>
    <w:lvl w:ilvl="4" w:tplc="83DE49C6">
      <w:numFmt w:val="none"/>
      <w:lvlText w:val=""/>
      <w:lvlJc w:val="left"/>
      <w:pPr>
        <w:tabs>
          <w:tab w:val="num" w:pos="360"/>
        </w:tabs>
      </w:pPr>
    </w:lvl>
    <w:lvl w:ilvl="5" w:tplc="82BA92FA">
      <w:numFmt w:val="none"/>
      <w:lvlText w:val=""/>
      <w:lvlJc w:val="left"/>
      <w:pPr>
        <w:tabs>
          <w:tab w:val="num" w:pos="360"/>
        </w:tabs>
      </w:pPr>
    </w:lvl>
    <w:lvl w:ilvl="6" w:tplc="090AFFC8">
      <w:numFmt w:val="none"/>
      <w:lvlText w:val=""/>
      <w:lvlJc w:val="left"/>
      <w:pPr>
        <w:tabs>
          <w:tab w:val="num" w:pos="360"/>
        </w:tabs>
      </w:pPr>
    </w:lvl>
    <w:lvl w:ilvl="7" w:tplc="66647BFA">
      <w:numFmt w:val="none"/>
      <w:lvlText w:val=""/>
      <w:lvlJc w:val="left"/>
      <w:pPr>
        <w:tabs>
          <w:tab w:val="num" w:pos="360"/>
        </w:tabs>
      </w:pPr>
    </w:lvl>
    <w:lvl w:ilvl="8" w:tplc="C2907F4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C5A325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F5A49E8"/>
    <w:multiLevelType w:val="hybridMultilevel"/>
    <w:tmpl w:val="39C49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397214"/>
    <w:multiLevelType w:val="multilevel"/>
    <w:tmpl w:val="B2C6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3A73A0F"/>
    <w:multiLevelType w:val="multilevel"/>
    <w:tmpl w:val="69704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5C8679B"/>
    <w:multiLevelType w:val="multilevel"/>
    <w:tmpl w:val="FF4A6F26"/>
    <w:numStyleLink w:val="Style8"/>
  </w:abstractNum>
  <w:abstractNum w:abstractNumId="28" w15:restartNumberingAfterBreak="0">
    <w:nsid w:val="37A4604D"/>
    <w:multiLevelType w:val="hybridMultilevel"/>
    <w:tmpl w:val="5AAAB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A0BDB"/>
    <w:multiLevelType w:val="hybridMultilevel"/>
    <w:tmpl w:val="04BA9DB0"/>
    <w:lvl w:ilvl="0" w:tplc="D9D676C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87A5717"/>
    <w:multiLevelType w:val="multilevel"/>
    <w:tmpl w:val="FF4A6F26"/>
    <w:styleLink w:val="Styl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8C518B4"/>
    <w:multiLevelType w:val="hybridMultilevel"/>
    <w:tmpl w:val="EDCA115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175E3D"/>
    <w:multiLevelType w:val="hybridMultilevel"/>
    <w:tmpl w:val="43768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827B8"/>
    <w:multiLevelType w:val="hybridMultilevel"/>
    <w:tmpl w:val="0B96D272"/>
    <w:lvl w:ilvl="0" w:tplc="6F84B1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C636CC8"/>
    <w:multiLevelType w:val="multilevel"/>
    <w:tmpl w:val="CF42C9B4"/>
    <w:numStyleLink w:val="Style2"/>
  </w:abstractNum>
  <w:abstractNum w:abstractNumId="35" w15:restartNumberingAfterBreak="0">
    <w:nsid w:val="3ED649E7"/>
    <w:multiLevelType w:val="multilevel"/>
    <w:tmpl w:val="3D96215A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3EDA733E"/>
    <w:multiLevelType w:val="hybridMultilevel"/>
    <w:tmpl w:val="CF2EBE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7417EE"/>
    <w:multiLevelType w:val="multilevel"/>
    <w:tmpl w:val="ED86C790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0414656"/>
    <w:multiLevelType w:val="multilevel"/>
    <w:tmpl w:val="377E4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09A2506"/>
    <w:multiLevelType w:val="multilevel"/>
    <w:tmpl w:val="0C09001F"/>
    <w:numStyleLink w:val="Style1"/>
  </w:abstractNum>
  <w:abstractNum w:abstractNumId="40" w15:restartNumberingAfterBreak="0">
    <w:nsid w:val="40E43841"/>
    <w:multiLevelType w:val="hybridMultilevel"/>
    <w:tmpl w:val="ABF085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5E0250"/>
    <w:multiLevelType w:val="hybridMultilevel"/>
    <w:tmpl w:val="D34A6C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E766E1"/>
    <w:multiLevelType w:val="multilevel"/>
    <w:tmpl w:val="1ECCF954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36F317C"/>
    <w:multiLevelType w:val="multilevel"/>
    <w:tmpl w:val="88DE336E"/>
    <w:numStyleLink w:val="Style10"/>
  </w:abstractNum>
  <w:abstractNum w:abstractNumId="44" w15:restartNumberingAfterBreak="0">
    <w:nsid w:val="43FC641C"/>
    <w:multiLevelType w:val="hybridMultilevel"/>
    <w:tmpl w:val="BBE4AC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D77238"/>
    <w:multiLevelType w:val="multilevel"/>
    <w:tmpl w:val="CF42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AF141E4"/>
    <w:multiLevelType w:val="hybridMultilevel"/>
    <w:tmpl w:val="245AE75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4B1354E5"/>
    <w:multiLevelType w:val="hybridMultilevel"/>
    <w:tmpl w:val="293EB662"/>
    <w:lvl w:ilvl="0" w:tplc="0C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8" w15:restartNumberingAfterBreak="0">
    <w:nsid w:val="4E277717"/>
    <w:multiLevelType w:val="hybridMultilevel"/>
    <w:tmpl w:val="127ECE90"/>
    <w:lvl w:ilvl="0" w:tplc="649C4B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417182"/>
    <w:multiLevelType w:val="multilevel"/>
    <w:tmpl w:val="8A381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5C80688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CC834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DCF1BDA"/>
    <w:multiLevelType w:val="multilevel"/>
    <w:tmpl w:val="1ECCF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EE42C39"/>
    <w:multiLevelType w:val="multilevel"/>
    <w:tmpl w:val="CFF43DA2"/>
    <w:styleLink w:val="Style7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0DD48BB"/>
    <w:multiLevelType w:val="hybridMultilevel"/>
    <w:tmpl w:val="FB9C37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9D1E0E"/>
    <w:multiLevelType w:val="multilevel"/>
    <w:tmpl w:val="8A80EDB4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45971B8"/>
    <w:multiLevelType w:val="hybridMultilevel"/>
    <w:tmpl w:val="E4148C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D5337D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8361A35"/>
    <w:multiLevelType w:val="multilevel"/>
    <w:tmpl w:val="0C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C537823"/>
    <w:multiLevelType w:val="hybridMultilevel"/>
    <w:tmpl w:val="511886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804603"/>
    <w:multiLevelType w:val="hybridMultilevel"/>
    <w:tmpl w:val="2FA669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256305"/>
    <w:multiLevelType w:val="multilevel"/>
    <w:tmpl w:val="DC203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2002E2D"/>
    <w:multiLevelType w:val="multilevel"/>
    <w:tmpl w:val="7BF27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724E5F05"/>
    <w:multiLevelType w:val="multilevel"/>
    <w:tmpl w:val="CF42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3CB008D"/>
    <w:multiLevelType w:val="hybridMultilevel"/>
    <w:tmpl w:val="8E665968"/>
    <w:lvl w:ilvl="0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5" w15:restartNumberingAfterBreak="0">
    <w:nsid w:val="74A82F92"/>
    <w:multiLevelType w:val="multilevel"/>
    <w:tmpl w:val="DE40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835538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8DB46C8"/>
    <w:multiLevelType w:val="multilevel"/>
    <w:tmpl w:val="33D84E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8" w15:restartNumberingAfterBreak="0">
    <w:nsid w:val="78F76A54"/>
    <w:multiLevelType w:val="multilevel"/>
    <w:tmpl w:val="F4C034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D2430EB"/>
    <w:multiLevelType w:val="hybridMultilevel"/>
    <w:tmpl w:val="E0CEE4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93513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4"/>
  </w:num>
  <w:num w:numId="5">
    <w:abstractNumId w:val="0"/>
  </w:num>
  <w:num w:numId="6">
    <w:abstractNumId w:val="35"/>
  </w:num>
  <w:num w:numId="7">
    <w:abstractNumId w:val="67"/>
  </w:num>
  <w:num w:numId="8">
    <w:abstractNumId w:val="22"/>
  </w:num>
  <w:num w:numId="9">
    <w:abstractNumId w:val="5"/>
  </w:num>
  <w:num w:numId="10">
    <w:abstractNumId w:val="9"/>
  </w:num>
  <w:num w:numId="11">
    <w:abstractNumId w:val="33"/>
  </w:num>
  <w:num w:numId="12">
    <w:abstractNumId w:val="36"/>
  </w:num>
  <w:num w:numId="13">
    <w:abstractNumId w:val="35"/>
  </w:num>
  <w:num w:numId="14">
    <w:abstractNumId w:val="35"/>
  </w:num>
  <w:num w:numId="15">
    <w:abstractNumId w:val="35"/>
  </w:num>
  <w:num w:numId="16">
    <w:abstractNumId w:val="35"/>
  </w:num>
  <w:num w:numId="17">
    <w:abstractNumId w:val="35"/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51"/>
  </w:num>
  <w:num w:numId="21">
    <w:abstractNumId w:val="23"/>
  </w:num>
  <w:num w:numId="22">
    <w:abstractNumId w:val="45"/>
  </w:num>
  <w:num w:numId="23">
    <w:abstractNumId w:val="25"/>
  </w:num>
  <w:num w:numId="24">
    <w:abstractNumId w:val="34"/>
  </w:num>
  <w:num w:numId="25">
    <w:abstractNumId w:val="63"/>
  </w:num>
  <w:num w:numId="26">
    <w:abstractNumId w:val="8"/>
  </w:num>
  <w:num w:numId="27">
    <w:abstractNumId w:val="65"/>
  </w:num>
  <w:num w:numId="28">
    <w:abstractNumId w:val="15"/>
  </w:num>
  <w:num w:numId="29">
    <w:abstractNumId w:val="57"/>
  </w:num>
  <w:num w:numId="30">
    <w:abstractNumId w:val="39"/>
  </w:num>
  <w:num w:numId="31">
    <w:abstractNumId w:val="11"/>
  </w:num>
  <w:num w:numId="32">
    <w:abstractNumId w:val="42"/>
  </w:num>
  <w:num w:numId="33">
    <w:abstractNumId w:val="18"/>
  </w:num>
  <w:num w:numId="34">
    <w:abstractNumId w:val="58"/>
  </w:num>
  <w:num w:numId="35">
    <w:abstractNumId w:val="4"/>
  </w:num>
  <w:num w:numId="36">
    <w:abstractNumId w:val="66"/>
  </w:num>
  <w:num w:numId="37">
    <w:abstractNumId w:val="37"/>
  </w:num>
  <w:num w:numId="38">
    <w:abstractNumId w:val="26"/>
  </w:num>
  <w:num w:numId="39">
    <w:abstractNumId w:val="68"/>
  </w:num>
  <w:num w:numId="40">
    <w:abstractNumId w:val="55"/>
  </w:num>
  <w:num w:numId="41">
    <w:abstractNumId w:val="48"/>
  </w:num>
  <w:num w:numId="42">
    <w:abstractNumId w:val="21"/>
  </w:num>
  <w:num w:numId="43">
    <w:abstractNumId w:val="53"/>
  </w:num>
  <w:num w:numId="44">
    <w:abstractNumId w:val="27"/>
  </w:num>
  <w:num w:numId="45">
    <w:abstractNumId w:val="30"/>
  </w:num>
  <w:num w:numId="46">
    <w:abstractNumId w:val="50"/>
  </w:num>
  <w:num w:numId="47">
    <w:abstractNumId w:val="20"/>
  </w:num>
  <w:num w:numId="48">
    <w:abstractNumId w:val="70"/>
  </w:num>
  <w:num w:numId="49">
    <w:abstractNumId w:val="43"/>
  </w:num>
  <w:num w:numId="50">
    <w:abstractNumId w:val="17"/>
  </w:num>
  <w:num w:numId="51">
    <w:abstractNumId w:val="61"/>
  </w:num>
  <w:num w:numId="52">
    <w:abstractNumId w:val="2"/>
  </w:num>
  <w:num w:numId="53">
    <w:abstractNumId w:val="60"/>
  </w:num>
  <w:num w:numId="54">
    <w:abstractNumId w:val="14"/>
  </w:num>
  <w:num w:numId="55">
    <w:abstractNumId w:val="32"/>
  </w:num>
  <w:num w:numId="56">
    <w:abstractNumId w:val="28"/>
  </w:num>
  <w:num w:numId="57">
    <w:abstractNumId w:val="10"/>
  </w:num>
  <w:num w:numId="58">
    <w:abstractNumId w:val="38"/>
  </w:num>
  <w:num w:numId="59">
    <w:abstractNumId w:val="52"/>
  </w:num>
  <w:num w:numId="60">
    <w:abstractNumId w:val="62"/>
  </w:num>
  <w:num w:numId="61">
    <w:abstractNumId w:val="54"/>
  </w:num>
  <w:num w:numId="62">
    <w:abstractNumId w:val="44"/>
  </w:num>
  <w:num w:numId="63">
    <w:abstractNumId w:val="12"/>
  </w:num>
  <w:num w:numId="64">
    <w:abstractNumId w:val="69"/>
  </w:num>
  <w:num w:numId="65">
    <w:abstractNumId w:val="59"/>
  </w:num>
  <w:num w:numId="66">
    <w:abstractNumId w:val="56"/>
  </w:num>
  <w:num w:numId="67">
    <w:abstractNumId w:val="6"/>
  </w:num>
  <w:num w:numId="68">
    <w:abstractNumId w:val="31"/>
  </w:num>
  <w:num w:numId="69">
    <w:abstractNumId w:val="41"/>
  </w:num>
  <w:num w:numId="70">
    <w:abstractNumId w:val="40"/>
  </w:num>
  <w:num w:numId="71">
    <w:abstractNumId w:val="3"/>
  </w:num>
  <w:num w:numId="72">
    <w:abstractNumId w:val="7"/>
  </w:num>
  <w:num w:numId="73">
    <w:abstractNumId w:val="16"/>
  </w:num>
  <w:num w:numId="74">
    <w:abstractNumId w:val="29"/>
  </w:num>
  <w:num w:numId="75">
    <w:abstractNumId w:val="19"/>
  </w:num>
  <w:num w:numId="76">
    <w:abstractNumId w:val="13"/>
  </w:num>
  <w:num w:numId="77">
    <w:abstractNumId w:val="46"/>
  </w:num>
  <w:num w:numId="78">
    <w:abstractNumId w:val="47"/>
  </w:num>
  <w:num w:numId="7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A8"/>
    <w:rsid w:val="00021877"/>
    <w:rsid w:val="0002357A"/>
    <w:rsid w:val="00051F7C"/>
    <w:rsid w:val="0005333D"/>
    <w:rsid w:val="00063F99"/>
    <w:rsid w:val="00066679"/>
    <w:rsid w:val="00075F66"/>
    <w:rsid w:val="000818A8"/>
    <w:rsid w:val="000823CA"/>
    <w:rsid w:val="000846C2"/>
    <w:rsid w:val="00090E16"/>
    <w:rsid w:val="00092158"/>
    <w:rsid w:val="000945DF"/>
    <w:rsid w:val="000A04F8"/>
    <w:rsid w:val="000A2D27"/>
    <w:rsid w:val="000A41D8"/>
    <w:rsid w:val="000A4274"/>
    <w:rsid w:val="000B18EF"/>
    <w:rsid w:val="000B48DD"/>
    <w:rsid w:val="000B71C4"/>
    <w:rsid w:val="000D159E"/>
    <w:rsid w:val="000D619F"/>
    <w:rsid w:val="000E10A9"/>
    <w:rsid w:val="000E16B2"/>
    <w:rsid w:val="0010190F"/>
    <w:rsid w:val="00106130"/>
    <w:rsid w:val="00106C4A"/>
    <w:rsid w:val="001077CA"/>
    <w:rsid w:val="00112F67"/>
    <w:rsid w:val="001143BA"/>
    <w:rsid w:val="00122F3D"/>
    <w:rsid w:val="00134F5D"/>
    <w:rsid w:val="00145061"/>
    <w:rsid w:val="00155324"/>
    <w:rsid w:val="00155A7F"/>
    <w:rsid w:val="00170743"/>
    <w:rsid w:val="00174DBA"/>
    <w:rsid w:val="001764D5"/>
    <w:rsid w:val="001872C8"/>
    <w:rsid w:val="001913E6"/>
    <w:rsid w:val="00195D9D"/>
    <w:rsid w:val="0019688A"/>
    <w:rsid w:val="001A2BA6"/>
    <w:rsid w:val="001C2010"/>
    <w:rsid w:val="001C23C9"/>
    <w:rsid w:val="001C2C39"/>
    <w:rsid w:val="001C5257"/>
    <w:rsid w:val="001D03DD"/>
    <w:rsid w:val="001D36D0"/>
    <w:rsid w:val="001E3308"/>
    <w:rsid w:val="001F67B0"/>
    <w:rsid w:val="0021568E"/>
    <w:rsid w:val="002163F9"/>
    <w:rsid w:val="0022316E"/>
    <w:rsid w:val="00231BB9"/>
    <w:rsid w:val="002342B1"/>
    <w:rsid w:val="00235BA1"/>
    <w:rsid w:val="002429F0"/>
    <w:rsid w:val="002530F4"/>
    <w:rsid w:val="00255D2C"/>
    <w:rsid w:val="002747B8"/>
    <w:rsid w:val="002B576E"/>
    <w:rsid w:val="002B6FFE"/>
    <w:rsid w:val="002C47FB"/>
    <w:rsid w:val="002D4DBE"/>
    <w:rsid w:val="002E7396"/>
    <w:rsid w:val="002F3D96"/>
    <w:rsid w:val="002F6C83"/>
    <w:rsid w:val="0030214E"/>
    <w:rsid w:val="00320702"/>
    <w:rsid w:val="003255A0"/>
    <w:rsid w:val="00326734"/>
    <w:rsid w:val="0033198B"/>
    <w:rsid w:val="00346A3B"/>
    <w:rsid w:val="00353B0F"/>
    <w:rsid w:val="003562E6"/>
    <w:rsid w:val="00375306"/>
    <w:rsid w:val="003828D5"/>
    <w:rsid w:val="0038763E"/>
    <w:rsid w:val="003A553C"/>
    <w:rsid w:val="003C6944"/>
    <w:rsid w:val="003D1153"/>
    <w:rsid w:val="003D6CD1"/>
    <w:rsid w:val="003F29F1"/>
    <w:rsid w:val="003F4FB9"/>
    <w:rsid w:val="00404EEB"/>
    <w:rsid w:val="0041095E"/>
    <w:rsid w:val="00412E5A"/>
    <w:rsid w:val="00412ED5"/>
    <w:rsid w:val="00435860"/>
    <w:rsid w:val="00456280"/>
    <w:rsid w:val="00460484"/>
    <w:rsid w:val="00463389"/>
    <w:rsid w:val="00477816"/>
    <w:rsid w:val="004844E5"/>
    <w:rsid w:val="0048575B"/>
    <w:rsid w:val="00485B44"/>
    <w:rsid w:val="004B20F1"/>
    <w:rsid w:val="004B3FEC"/>
    <w:rsid w:val="004B7D95"/>
    <w:rsid w:val="004C4C2A"/>
    <w:rsid w:val="004E4DF1"/>
    <w:rsid w:val="004E4FC4"/>
    <w:rsid w:val="004F2D70"/>
    <w:rsid w:val="004F71DD"/>
    <w:rsid w:val="00500585"/>
    <w:rsid w:val="005010EA"/>
    <w:rsid w:val="00501325"/>
    <w:rsid w:val="00512625"/>
    <w:rsid w:val="00513404"/>
    <w:rsid w:val="0052515F"/>
    <w:rsid w:val="005408A0"/>
    <w:rsid w:val="00551AFE"/>
    <w:rsid w:val="00554578"/>
    <w:rsid w:val="00556473"/>
    <w:rsid w:val="00556B84"/>
    <w:rsid w:val="005612E3"/>
    <w:rsid w:val="0057289B"/>
    <w:rsid w:val="0057392D"/>
    <w:rsid w:val="005B3E2B"/>
    <w:rsid w:val="005B6284"/>
    <w:rsid w:val="005C13CF"/>
    <w:rsid w:val="005C1DAB"/>
    <w:rsid w:val="005C6B9E"/>
    <w:rsid w:val="005D43E1"/>
    <w:rsid w:val="005D4FAB"/>
    <w:rsid w:val="005D6ED1"/>
    <w:rsid w:val="005F4443"/>
    <w:rsid w:val="005F6A82"/>
    <w:rsid w:val="006016D8"/>
    <w:rsid w:val="00621CB5"/>
    <w:rsid w:val="0062491E"/>
    <w:rsid w:val="00625EA3"/>
    <w:rsid w:val="0063699B"/>
    <w:rsid w:val="00643E39"/>
    <w:rsid w:val="00653C8A"/>
    <w:rsid w:val="006571E2"/>
    <w:rsid w:val="00685DB0"/>
    <w:rsid w:val="00692F72"/>
    <w:rsid w:val="0069667B"/>
    <w:rsid w:val="006A2A60"/>
    <w:rsid w:val="006A2B2B"/>
    <w:rsid w:val="006B1000"/>
    <w:rsid w:val="006C27D4"/>
    <w:rsid w:val="006C4386"/>
    <w:rsid w:val="006D0B21"/>
    <w:rsid w:val="006E142A"/>
    <w:rsid w:val="006F5BF7"/>
    <w:rsid w:val="006F761F"/>
    <w:rsid w:val="00707C7C"/>
    <w:rsid w:val="00714A39"/>
    <w:rsid w:val="007246CB"/>
    <w:rsid w:val="00741B89"/>
    <w:rsid w:val="00755409"/>
    <w:rsid w:val="007663C8"/>
    <w:rsid w:val="007754FE"/>
    <w:rsid w:val="0078639B"/>
    <w:rsid w:val="00793D14"/>
    <w:rsid w:val="007A3690"/>
    <w:rsid w:val="007A6091"/>
    <w:rsid w:val="007B1526"/>
    <w:rsid w:val="007C1A21"/>
    <w:rsid w:val="007D0936"/>
    <w:rsid w:val="007D330C"/>
    <w:rsid w:val="00802314"/>
    <w:rsid w:val="00811B24"/>
    <w:rsid w:val="008121A8"/>
    <w:rsid w:val="008150EC"/>
    <w:rsid w:val="0081756E"/>
    <w:rsid w:val="00837F9E"/>
    <w:rsid w:val="0084762A"/>
    <w:rsid w:val="008506B0"/>
    <w:rsid w:val="0086030B"/>
    <w:rsid w:val="008622C2"/>
    <w:rsid w:val="00870C28"/>
    <w:rsid w:val="00880DFC"/>
    <w:rsid w:val="008823AA"/>
    <w:rsid w:val="008B5D98"/>
    <w:rsid w:val="008D2561"/>
    <w:rsid w:val="008D7556"/>
    <w:rsid w:val="008E0492"/>
    <w:rsid w:val="008E5259"/>
    <w:rsid w:val="008F065F"/>
    <w:rsid w:val="008F15C6"/>
    <w:rsid w:val="00913FDE"/>
    <w:rsid w:val="009148E9"/>
    <w:rsid w:val="00933BDB"/>
    <w:rsid w:val="00937E07"/>
    <w:rsid w:val="009A2FA8"/>
    <w:rsid w:val="009B124A"/>
    <w:rsid w:val="009B4A9D"/>
    <w:rsid w:val="009B7CCE"/>
    <w:rsid w:val="009C69F8"/>
    <w:rsid w:val="009C6A8B"/>
    <w:rsid w:val="009D288A"/>
    <w:rsid w:val="009D417B"/>
    <w:rsid w:val="009D6203"/>
    <w:rsid w:val="00A2128D"/>
    <w:rsid w:val="00A412F8"/>
    <w:rsid w:val="00A43403"/>
    <w:rsid w:val="00A54ED6"/>
    <w:rsid w:val="00A67D83"/>
    <w:rsid w:val="00A76411"/>
    <w:rsid w:val="00A81388"/>
    <w:rsid w:val="00A863C6"/>
    <w:rsid w:val="00A87A33"/>
    <w:rsid w:val="00AA5D8E"/>
    <w:rsid w:val="00AA6657"/>
    <w:rsid w:val="00AB1649"/>
    <w:rsid w:val="00AB1650"/>
    <w:rsid w:val="00AC1412"/>
    <w:rsid w:val="00AC2AD1"/>
    <w:rsid w:val="00AC3065"/>
    <w:rsid w:val="00AD0891"/>
    <w:rsid w:val="00AD4372"/>
    <w:rsid w:val="00AD6B3F"/>
    <w:rsid w:val="00AE4CC2"/>
    <w:rsid w:val="00AF133F"/>
    <w:rsid w:val="00AF29EC"/>
    <w:rsid w:val="00AF44A8"/>
    <w:rsid w:val="00B00A00"/>
    <w:rsid w:val="00B027D5"/>
    <w:rsid w:val="00B16674"/>
    <w:rsid w:val="00B43B2F"/>
    <w:rsid w:val="00B43B82"/>
    <w:rsid w:val="00B47546"/>
    <w:rsid w:val="00B504D4"/>
    <w:rsid w:val="00B524CF"/>
    <w:rsid w:val="00B633DB"/>
    <w:rsid w:val="00B73A7F"/>
    <w:rsid w:val="00B865B3"/>
    <w:rsid w:val="00B94F72"/>
    <w:rsid w:val="00B96001"/>
    <w:rsid w:val="00BB5840"/>
    <w:rsid w:val="00BD343F"/>
    <w:rsid w:val="00BD4448"/>
    <w:rsid w:val="00BE02ED"/>
    <w:rsid w:val="00C21379"/>
    <w:rsid w:val="00C2663A"/>
    <w:rsid w:val="00C2767E"/>
    <w:rsid w:val="00C435BF"/>
    <w:rsid w:val="00C465D6"/>
    <w:rsid w:val="00C53FF7"/>
    <w:rsid w:val="00C62B4B"/>
    <w:rsid w:val="00C63AD8"/>
    <w:rsid w:val="00C64874"/>
    <w:rsid w:val="00C70A17"/>
    <w:rsid w:val="00C72A28"/>
    <w:rsid w:val="00C72D79"/>
    <w:rsid w:val="00C95E38"/>
    <w:rsid w:val="00C96DB4"/>
    <w:rsid w:val="00CA3B7A"/>
    <w:rsid w:val="00CB1234"/>
    <w:rsid w:val="00CB1479"/>
    <w:rsid w:val="00CB526D"/>
    <w:rsid w:val="00CD151E"/>
    <w:rsid w:val="00CD40BA"/>
    <w:rsid w:val="00CD4ACA"/>
    <w:rsid w:val="00CD7011"/>
    <w:rsid w:val="00CF460B"/>
    <w:rsid w:val="00CF5B81"/>
    <w:rsid w:val="00CF7AE1"/>
    <w:rsid w:val="00D00BD1"/>
    <w:rsid w:val="00D06184"/>
    <w:rsid w:val="00D10CD4"/>
    <w:rsid w:val="00D11054"/>
    <w:rsid w:val="00D243E2"/>
    <w:rsid w:val="00D37927"/>
    <w:rsid w:val="00D40F26"/>
    <w:rsid w:val="00D62B3C"/>
    <w:rsid w:val="00D63AF8"/>
    <w:rsid w:val="00D67C24"/>
    <w:rsid w:val="00D71545"/>
    <w:rsid w:val="00D72768"/>
    <w:rsid w:val="00D73898"/>
    <w:rsid w:val="00D9117E"/>
    <w:rsid w:val="00D9196B"/>
    <w:rsid w:val="00D973E4"/>
    <w:rsid w:val="00DC58EB"/>
    <w:rsid w:val="00E010B2"/>
    <w:rsid w:val="00E02CDF"/>
    <w:rsid w:val="00E106F8"/>
    <w:rsid w:val="00E2533B"/>
    <w:rsid w:val="00E31D98"/>
    <w:rsid w:val="00E36F12"/>
    <w:rsid w:val="00E43555"/>
    <w:rsid w:val="00E44E5F"/>
    <w:rsid w:val="00E52493"/>
    <w:rsid w:val="00E75EB5"/>
    <w:rsid w:val="00E93B7A"/>
    <w:rsid w:val="00EA6B04"/>
    <w:rsid w:val="00EB3D38"/>
    <w:rsid w:val="00EB6EA4"/>
    <w:rsid w:val="00ED48E8"/>
    <w:rsid w:val="00EE477D"/>
    <w:rsid w:val="00EE779A"/>
    <w:rsid w:val="00EF0AB9"/>
    <w:rsid w:val="00F0238F"/>
    <w:rsid w:val="00F07B72"/>
    <w:rsid w:val="00F275BE"/>
    <w:rsid w:val="00F312FB"/>
    <w:rsid w:val="00F3137B"/>
    <w:rsid w:val="00F33576"/>
    <w:rsid w:val="00F5551F"/>
    <w:rsid w:val="00F56E46"/>
    <w:rsid w:val="00F62293"/>
    <w:rsid w:val="00F657AD"/>
    <w:rsid w:val="00F72E71"/>
    <w:rsid w:val="00F7365C"/>
    <w:rsid w:val="00F7744A"/>
    <w:rsid w:val="00F77E70"/>
    <w:rsid w:val="00F83FCE"/>
    <w:rsid w:val="00FA2AAE"/>
    <w:rsid w:val="00FB5712"/>
    <w:rsid w:val="00FC167C"/>
    <w:rsid w:val="00FE560E"/>
    <w:rsid w:val="00FE74A7"/>
    <w:rsid w:val="00FF4052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53C173"/>
  <w15:chartTrackingRefBased/>
  <w15:docId w15:val="{8387B4FA-5590-49BE-B0D0-F0789AAA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82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B43B82"/>
    <w:pPr>
      <w:keepNext/>
      <w:spacing w:after="120"/>
      <w:outlineLvl w:val="0"/>
    </w:pPr>
    <w:rPr>
      <w:rFonts w:ascii="Arial (W1)" w:hAnsi="Arial (W1)"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rsid w:val="00B43B82"/>
    <w:pPr>
      <w:keepNext/>
      <w:outlineLvl w:val="1"/>
    </w:pPr>
    <w:rPr>
      <w:rFonts w:ascii="Arial (W1)" w:hAnsi="Arial (W1)"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B43B82"/>
    <w:pPr>
      <w:keepNext/>
      <w:outlineLvl w:val="2"/>
    </w:pPr>
    <w:rPr>
      <w:rFonts w:ascii="Arial (W1)" w:hAnsi="Arial (W1)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43B82"/>
    <w:pPr>
      <w:keepNext/>
      <w:jc w:val="both"/>
      <w:outlineLvl w:val="3"/>
    </w:pPr>
    <w:rPr>
      <w:rFonts w:ascii="Arial (W1)" w:hAnsi="Arial (W1)" w:cs="Arial"/>
      <w:b/>
      <w:bCs/>
    </w:rPr>
  </w:style>
  <w:style w:type="paragraph" w:styleId="Heading5">
    <w:name w:val="heading 5"/>
    <w:basedOn w:val="Normal"/>
    <w:next w:val="Normal"/>
    <w:qFormat/>
    <w:rsid w:val="00B43B82"/>
    <w:pPr>
      <w:keepNext/>
      <w:numPr>
        <w:numId w:val="6"/>
      </w:numPr>
      <w:jc w:val="both"/>
      <w:outlineLvl w:val="4"/>
    </w:pPr>
    <w:rPr>
      <w:rFonts w:cs="Arial"/>
      <w:b/>
      <w:bCs/>
      <w:sz w:val="24"/>
    </w:rPr>
  </w:style>
  <w:style w:type="paragraph" w:styleId="Heading6">
    <w:name w:val="heading 6"/>
    <w:basedOn w:val="Normal"/>
    <w:next w:val="Normal"/>
    <w:qFormat/>
    <w:rsid w:val="00B43B82"/>
    <w:pPr>
      <w:keepNext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B43B82"/>
    <w:pPr>
      <w:keepNext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qFormat/>
    <w:rsid w:val="00B43B82"/>
    <w:pPr>
      <w:keepNext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B43B82"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B43B82"/>
    <w:pPr>
      <w:numPr>
        <w:numId w:val="3"/>
      </w:numPr>
    </w:pPr>
  </w:style>
  <w:style w:type="paragraph" w:styleId="Title">
    <w:name w:val="Title"/>
    <w:basedOn w:val="Normal"/>
    <w:qFormat/>
    <w:rsid w:val="00B43B82"/>
    <w:pPr>
      <w:spacing w:before="200"/>
      <w:ind w:left="851"/>
      <w:outlineLvl w:val="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B43B82"/>
    <w:rPr>
      <w:rFonts w:ascii="Arial (W1)" w:hAnsi="Arial (W1)"/>
      <w:b/>
      <w:color w:val="6699CC"/>
    </w:rPr>
  </w:style>
  <w:style w:type="paragraph" w:styleId="Footer">
    <w:name w:val="footer"/>
    <w:basedOn w:val="Normal"/>
    <w:link w:val="FooterChar"/>
    <w:uiPriority w:val="99"/>
    <w:rsid w:val="00B43B82"/>
    <w:pPr>
      <w:ind w:left="-284"/>
    </w:pPr>
    <w:rPr>
      <w:rFonts w:ascii="Arial (W1)" w:hAnsi="Arial (W1)"/>
      <w:color w:val="002868"/>
    </w:rPr>
  </w:style>
  <w:style w:type="paragraph" w:customStyle="1" w:styleId="Banner">
    <w:name w:val="Banner"/>
    <w:basedOn w:val="Normal"/>
    <w:rsid w:val="00B43B82"/>
    <w:rPr>
      <w:b/>
      <w:color w:val="FFFFFF"/>
      <w:sz w:val="32"/>
      <w:szCs w:val="20"/>
    </w:rPr>
  </w:style>
  <w:style w:type="character" w:styleId="Hyperlink">
    <w:name w:val="Hyperlink"/>
    <w:rsid w:val="00B43B82"/>
    <w:rPr>
      <w:color w:val="0000FF"/>
      <w:u w:val="single"/>
    </w:rPr>
  </w:style>
  <w:style w:type="paragraph" w:styleId="TOC9">
    <w:name w:val="toc 9"/>
    <w:basedOn w:val="Normal"/>
    <w:next w:val="Normal"/>
    <w:autoRedefine/>
    <w:semiHidden/>
    <w:rsid w:val="00B43B82"/>
    <w:pPr>
      <w:ind w:left="1600"/>
    </w:pPr>
  </w:style>
  <w:style w:type="character" w:styleId="FollowedHyperlink">
    <w:name w:val="FollowedHyperlink"/>
    <w:rsid w:val="00B43B82"/>
    <w:rPr>
      <w:color w:val="800080"/>
      <w:u w:val="single"/>
    </w:rPr>
  </w:style>
  <w:style w:type="paragraph" w:styleId="BodyTextIndent">
    <w:name w:val="Body Text Indent"/>
    <w:basedOn w:val="Normal"/>
    <w:rsid w:val="00B43B82"/>
    <w:pPr>
      <w:tabs>
        <w:tab w:val="left" w:pos="900"/>
      </w:tabs>
      <w:ind w:left="900" w:hanging="540"/>
    </w:pPr>
    <w:rPr>
      <w:rFonts w:cs="Arial"/>
      <w:sz w:val="24"/>
    </w:rPr>
  </w:style>
  <w:style w:type="paragraph" w:styleId="ListNumber">
    <w:name w:val="List Number"/>
    <w:basedOn w:val="Normal"/>
    <w:rsid w:val="00B43B82"/>
    <w:pPr>
      <w:numPr>
        <w:numId w:val="5"/>
      </w:numPr>
      <w:spacing w:after="120"/>
      <w:ind w:left="357" w:hanging="357"/>
    </w:pPr>
  </w:style>
  <w:style w:type="character" w:styleId="CommentReference">
    <w:name w:val="annotation reference"/>
    <w:semiHidden/>
    <w:rsid w:val="00B43B82"/>
    <w:rPr>
      <w:sz w:val="16"/>
      <w:szCs w:val="16"/>
    </w:rPr>
  </w:style>
  <w:style w:type="paragraph" w:customStyle="1" w:styleId="PolicyTitle">
    <w:name w:val="Policy Title"/>
    <w:basedOn w:val="Normal"/>
    <w:rsid w:val="00B43B82"/>
    <w:pPr>
      <w:jc w:val="center"/>
    </w:pPr>
    <w:rPr>
      <w:rFonts w:ascii="Arial (W1)" w:hAnsi="Arial (W1)"/>
      <w:b/>
      <w:sz w:val="28"/>
    </w:rPr>
  </w:style>
  <w:style w:type="paragraph" w:customStyle="1" w:styleId="BannerBig">
    <w:name w:val="Banner Big"/>
    <w:basedOn w:val="Banner"/>
    <w:rsid w:val="00B43B82"/>
    <w:pPr>
      <w:jc w:val="center"/>
    </w:pPr>
    <w:rPr>
      <w:rFonts w:ascii="Arial Black" w:hAnsi="Arial Black"/>
      <w:b w:val="0"/>
      <w:bCs/>
      <w:sz w:val="40"/>
    </w:rPr>
  </w:style>
  <w:style w:type="paragraph" w:styleId="CommentText">
    <w:name w:val="annotation text"/>
    <w:basedOn w:val="Normal"/>
    <w:link w:val="CommentTextChar"/>
    <w:semiHidden/>
    <w:rsid w:val="00B43B82"/>
    <w:rPr>
      <w:szCs w:val="20"/>
    </w:rPr>
  </w:style>
  <w:style w:type="paragraph" w:styleId="BalloonText">
    <w:name w:val="Balloon Text"/>
    <w:basedOn w:val="Normal"/>
    <w:semiHidden/>
    <w:rsid w:val="00B43B82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B43B82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B43B82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B43B82"/>
    <w:rPr>
      <w:rFonts w:ascii="Arial" w:hAnsi="Arial"/>
      <w:spacing w:val="8"/>
      <w:sz w:val="26"/>
      <w:szCs w:val="26"/>
      <w:lang w:val="en-AU" w:eastAsia="en-AU" w:bidi="ar-SA"/>
    </w:rPr>
  </w:style>
  <w:style w:type="character" w:styleId="PageNumber">
    <w:name w:val="page number"/>
    <w:basedOn w:val="DefaultParagraphFont"/>
    <w:rsid w:val="00B43B82"/>
  </w:style>
  <w:style w:type="paragraph" w:styleId="ListParagraph">
    <w:name w:val="List Paragraph"/>
    <w:basedOn w:val="Normal"/>
    <w:link w:val="ListParagraphChar"/>
    <w:uiPriority w:val="34"/>
    <w:qFormat/>
    <w:rsid w:val="001913E6"/>
    <w:pPr>
      <w:ind w:left="720"/>
      <w:contextualSpacing/>
    </w:pPr>
  </w:style>
  <w:style w:type="numbering" w:customStyle="1" w:styleId="Style1">
    <w:name w:val="Style1"/>
    <w:rsid w:val="00B027D5"/>
    <w:pPr>
      <w:numPr>
        <w:numId w:val="29"/>
      </w:numPr>
    </w:pPr>
  </w:style>
  <w:style w:type="numbering" w:customStyle="1" w:styleId="Style2">
    <w:name w:val="Style2"/>
    <w:rsid w:val="00B027D5"/>
    <w:pPr>
      <w:numPr>
        <w:numId w:val="31"/>
      </w:numPr>
    </w:pPr>
  </w:style>
  <w:style w:type="paragraph" w:styleId="CommentSubject">
    <w:name w:val="annotation subject"/>
    <w:basedOn w:val="CommentText"/>
    <w:next w:val="CommentText"/>
    <w:link w:val="CommentSubjectChar"/>
    <w:rsid w:val="00B027D5"/>
    <w:rPr>
      <w:b/>
      <w:bCs/>
    </w:rPr>
  </w:style>
  <w:style w:type="character" w:customStyle="1" w:styleId="CommentTextChar">
    <w:name w:val="Comment Text Char"/>
    <w:link w:val="CommentText"/>
    <w:semiHidden/>
    <w:rsid w:val="00B027D5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B027D5"/>
    <w:rPr>
      <w:rFonts w:ascii="Arial" w:hAnsi="Arial"/>
      <w:lang w:eastAsia="en-US"/>
    </w:rPr>
  </w:style>
  <w:style w:type="numbering" w:customStyle="1" w:styleId="Style3">
    <w:name w:val="Style3"/>
    <w:rsid w:val="00A87A33"/>
    <w:pPr>
      <w:numPr>
        <w:numId w:val="32"/>
      </w:numPr>
    </w:pPr>
  </w:style>
  <w:style w:type="character" w:customStyle="1" w:styleId="FooterChar">
    <w:name w:val="Footer Char"/>
    <w:link w:val="Footer"/>
    <w:uiPriority w:val="99"/>
    <w:rsid w:val="005B6284"/>
    <w:rPr>
      <w:rFonts w:ascii="Arial (W1)" w:hAnsi="Arial (W1)"/>
      <w:color w:val="002868"/>
      <w:szCs w:val="24"/>
      <w:lang w:eastAsia="en-US"/>
    </w:rPr>
  </w:style>
  <w:style w:type="numbering" w:customStyle="1" w:styleId="Style4">
    <w:name w:val="Style4"/>
    <w:uiPriority w:val="99"/>
    <w:rsid w:val="00456280"/>
    <w:pPr>
      <w:numPr>
        <w:numId w:val="34"/>
      </w:numPr>
    </w:pPr>
  </w:style>
  <w:style w:type="numbering" w:customStyle="1" w:styleId="Style5">
    <w:name w:val="Style5"/>
    <w:uiPriority w:val="99"/>
    <w:rsid w:val="00456280"/>
    <w:pPr>
      <w:numPr>
        <w:numId w:val="37"/>
      </w:numPr>
    </w:pPr>
  </w:style>
  <w:style w:type="numbering" w:customStyle="1" w:styleId="Style6">
    <w:name w:val="Style6"/>
    <w:uiPriority w:val="99"/>
    <w:rsid w:val="00456280"/>
    <w:pPr>
      <w:numPr>
        <w:numId w:val="40"/>
      </w:numPr>
    </w:pPr>
  </w:style>
  <w:style w:type="numbering" w:customStyle="1" w:styleId="Style7">
    <w:name w:val="Style7"/>
    <w:uiPriority w:val="99"/>
    <w:rsid w:val="003255A0"/>
    <w:pPr>
      <w:numPr>
        <w:numId w:val="43"/>
      </w:numPr>
    </w:pPr>
  </w:style>
  <w:style w:type="numbering" w:customStyle="1" w:styleId="Style8">
    <w:name w:val="Style8"/>
    <w:uiPriority w:val="99"/>
    <w:rsid w:val="003255A0"/>
    <w:pPr>
      <w:numPr>
        <w:numId w:val="45"/>
      </w:numPr>
    </w:pPr>
  </w:style>
  <w:style w:type="numbering" w:customStyle="1" w:styleId="Style9">
    <w:name w:val="Style9"/>
    <w:uiPriority w:val="99"/>
    <w:rsid w:val="003255A0"/>
    <w:pPr>
      <w:numPr>
        <w:numId w:val="47"/>
      </w:numPr>
    </w:pPr>
  </w:style>
  <w:style w:type="numbering" w:customStyle="1" w:styleId="Style10">
    <w:name w:val="Style10"/>
    <w:uiPriority w:val="99"/>
    <w:rsid w:val="003255A0"/>
    <w:pPr>
      <w:numPr>
        <w:numId w:val="50"/>
      </w:numPr>
    </w:pPr>
  </w:style>
  <w:style w:type="paragraph" w:customStyle="1" w:styleId="HeaderText">
    <w:name w:val="Header Text"/>
    <w:basedOn w:val="Normal"/>
    <w:rsid w:val="00AF44A8"/>
    <w:pPr>
      <w:autoSpaceDE w:val="0"/>
      <w:autoSpaceDN w:val="0"/>
      <w:adjustRightInd w:val="0"/>
    </w:pPr>
    <w:rPr>
      <w:rFonts w:cs="Arial"/>
      <w:i/>
      <w:iCs/>
      <w:szCs w:val="20"/>
      <w:lang w:val="en-US"/>
    </w:rPr>
  </w:style>
  <w:style w:type="paragraph" w:styleId="BodyText">
    <w:name w:val="Body Text"/>
    <w:basedOn w:val="Normal"/>
    <w:link w:val="BodyTextChar"/>
    <w:rsid w:val="0078639B"/>
    <w:pPr>
      <w:spacing w:after="120"/>
    </w:pPr>
  </w:style>
  <w:style w:type="character" w:customStyle="1" w:styleId="BodyTextChar">
    <w:name w:val="Body Text Char"/>
    <w:link w:val="BodyText"/>
    <w:rsid w:val="0078639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CA3B7A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rsid w:val="00CA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of">
    <w:name w:val="Department of"/>
    <w:basedOn w:val="Normal"/>
    <w:rsid w:val="000846C2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0846C2"/>
    <w:rPr>
      <w:rFonts w:ascii="Lato Black" w:hAnsi="Lato Black" w:cs="Lato Black"/>
    </w:rPr>
  </w:style>
  <w:style w:type="character" w:customStyle="1" w:styleId="HeaderChar">
    <w:name w:val="Header Char"/>
    <w:link w:val="Header"/>
    <w:uiPriority w:val="99"/>
    <w:rsid w:val="000846C2"/>
    <w:rPr>
      <w:rFonts w:ascii="Arial (W1)" w:hAnsi="Arial (W1)"/>
      <w:b/>
      <w:color w:val="6699CC"/>
      <w:szCs w:val="24"/>
      <w:lang w:eastAsia="en-US"/>
    </w:rPr>
  </w:style>
  <w:style w:type="paragraph" w:customStyle="1" w:styleId="web">
    <w:name w:val="web"/>
    <w:basedOn w:val="Normal"/>
    <w:rsid w:val="000846C2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fault">
    <w:name w:val="Default"/>
    <w:basedOn w:val="Normal"/>
    <w:rsid w:val="001143BA"/>
    <w:pPr>
      <w:autoSpaceDE w:val="0"/>
      <w:autoSpaceDN w:val="0"/>
    </w:pPr>
    <w:rPr>
      <w:rFonts w:eastAsiaTheme="minorHAnsi" w:cs="Arial"/>
      <w:color w:val="000000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57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C2014C00076" TargetMode="External"/><Relationship Id="rId13" Type="http://schemas.openxmlformats.org/officeDocument/2006/relationships/hyperlink" Target="mailto:qualityecnt.det@nt.gov.au" TargetMode="External"/><Relationship Id="rId18" Type="http://schemas.openxmlformats.org/officeDocument/2006/relationships/hyperlink" Target="https://www.legislation.gov.au/Series/C2004A02562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acecqa.gov.au/sites/default/files/2018-01/ACECQA_APP_PrivacyPolicy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t.gov.au/copyright-disclaimer-and-privacy" TargetMode="External"/><Relationship Id="rId17" Type="http://schemas.openxmlformats.org/officeDocument/2006/relationships/hyperlink" Target="https://www.legislation.nsw.gov.a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egislation.nt.gov.au/Legislation/EDUCATION-AND-CARE-SERVICES-NATIONAL-UNIFORM-LEGISLATION-ACT" TargetMode="External"/><Relationship Id="rId20" Type="http://schemas.openxmlformats.org/officeDocument/2006/relationships/hyperlink" Target="https://www.legislation.gov.au/Details/C2017A0001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foi.det@nt.gov.a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oaic.gov.au/individuals/privacy-fact-sheets/general/privacy-fact-sheet-17-australian-privacy-principles" TargetMode="External"/><Relationship Id="rId23" Type="http://schemas.openxmlformats.org/officeDocument/2006/relationships/hyperlink" Target="https://www.oaic.gov.au/individuals/privacy-fact-sheets/general/privacy-fact-sheet-17-australian-privacy-principl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gislation.nt.gov.au/Legislation/EDUCATION-AND-CARE-SERVICES-NATIONAL-UNIFORM-LEGISLATION-ACT" TargetMode="External"/><Relationship Id="rId19" Type="http://schemas.openxmlformats.org/officeDocument/2006/relationships/hyperlink" Target="https://www.legislation.gov.au/Details/C2014C000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aic.gov.au/individuals/privacy-fact-sheets/general/privacy-fact-sheet-17-australian-privacy-principles" TargetMode="External"/><Relationship Id="rId14" Type="http://schemas.openxmlformats.org/officeDocument/2006/relationships/hyperlink" Target="mailto:enquiry@necsopic.edu.au" TargetMode="External"/><Relationship Id="rId22" Type="http://schemas.openxmlformats.org/officeDocument/2006/relationships/hyperlink" Target="https://www.oaic.gov.au/resources/agencies-and-organisations/guides/guide-to-developing-an-app-privacy-policy.pdf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2B7D-CE92-4698-B4AE-9939A855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QECNT Australian Privacy Principles Privacy Policy</vt:lpstr>
    </vt:vector>
  </TitlesOfParts>
  <Company>DEET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QECNT Australian Privacy Principles Privacy Policy</dc:title>
  <dc:subject>Information Sheet</dc:subject>
  <dc:creator>Northern Territory Government</dc:creator>
  <cp:keywords/>
  <cp:lastModifiedBy>Luisa Morfe</cp:lastModifiedBy>
  <cp:revision>2</cp:revision>
  <cp:lastPrinted>2018-07-16T00:42:00Z</cp:lastPrinted>
  <dcterms:created xsi:type="dcterms:W3CDTF">2019-04-15T23:18:00Z</dcterms:created>
  <dcterms:modified xsi:type="dcterms:W3CDTF">2019-04-15T23:18:00Z</dcterms:modified>
</cp:coreProperties>
</file>